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numPr>
          <w:ilvl w:val="0"/>
          <w:numId w:val="0"/>
        </w:numPr>
        <w:bidi w:val="0"/>
        <w:spacing w:before="240" w:after="120"/>
        <w:jc w:val="start"/>
        <w:outlineLvl w:val="0"/>
        <w:rPr/>
      </w:pPr>
      <w:r>
        <w:rPr>
          <w:rFonts w:ascii="Arial" w:hAnsi="Arial"/>
          <w:sz w:val="32"/>
          <w:szCs w:val="32"/>
          <w:lang w:val="fr-FR"/>
        </w:rPr>
        <w:t>Lett</w:t>
      </w:r>
      <w:r>
        <w:rPr>
          <w:rFonts w:ascii="Arial" w:hAnsi="Arial"/>
          <w:sz w:val="32"/>
          <w:szCs w:val="32"/>
          <w:lang w:val="fr-FR"/>
        </w:rPr>
        <w:t xml:space="preserve">re </w:t>
      </w:r>
      <w:r>
        <w:rPr>
          <w:rFonts w:ascii="Arial" w:hAnsi="Arial"/>
          <w:sz w:val="32"/>
          <w:szCs w:val="32"/>
          <w:lang w:val="fr-FR"/>
        </w:rPr>
        <w:t>au comité de</w:t>
      </w:r>
      <w:r>
        <w:rPr>
          <w:rFonts w:ascii="Arial" w:hAnsi="Arial"/>
          <w:sz w:val="32"/>
          <w:szCs w:val="32"/>
          <w:lang w:val="fr-FR"/>
        </w:rPr>
        <w:t xml:space="preserve"> rédaction du</w:t>
      </w:r>
      <w:r>
        <w:rPr>
          <w:rFonts w:ascii="Arial" w:hAnsi="Arial"/>
          <w:sz w:val="32"/>
          <w:szCs w:val="32"/>
          <w:lang w:val="fr-FR"/>
        </w:rPr>
        <w:t xml:space="preserve"> </w:t>
      </w:r>
      <w:r>
        <w:rPr>
          <w:rStyle w:val="Accentuation"/>
          <w:rFonts w:ascii="Arial" w:hAnsi="Arial"/>
          <w:sz w:val="32"/>
          <w:szCs w:val="32"/>
          <w:lang w:val="fr-FR"/>
        </w:rPr>
        <w:t>Journal of Adolescent Health</w:t>
      </w:r>
    </w:p>
    <w:p>
      <w:pPr>
        <w:pStyle w:val="Corpsdetexte"/>
        <w:bidi w:val="0"/>
        <w:spacing w:before="0" w:after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Corpsdetexte"/>
        <w:bidi w:val="0"/>
        <w:jc w:val="start"/>
        <w:rPr>
          <w:lang w:val="en-US"/>
        </w:rPr>
      </w:pPr>
      <w:r>
        <w:rPr>
          <w:rFonts w:ascii="Arial" w:hAnsi="Arial"/>
          <w:sz w:val="22"/>
          <w:szCs w:val="22"/>
          <w:lang w:val="fr-FR"/>
        </w:rPr>
        <w:t>Cet article a été publié pour la première fois en anglais le 1</w:t>
      </w:r>
      <w:r>
        <w:rPr>
          <w:rFonts w:ascii="Arial" w:hAnsi="Arial"/>
          <w:sz w:val="22"/>
          <w:szCs w:val="22"/>
          <w:vertAlign w:val="superscript"/>
          <w:lang w:val="fr-FR"/>
        </w:rPr>
        <w:t>er</w:t>
      </w:r>
      <w:r>
        <w:rPr>
          <w:rFonts w:ascii="Arial" w:hAnsi="Arial"/>
          <w:sz w:val="22"/>
          <w:szCs w:val="22"/>
          <w:lang w:val="fr-FR"/>
        </w:rPr>
        <w:t xml:space="preserve"> septembre 2021 :</w:t>
      </w:r>
      <w:r>
        <w:rPr>
          <w:rFonts w:ascii="Arial" w:hAnsi="Arial"/>
          <w:sz w:val="22"/>
          <w:szCs w:val="22"/>
          <w:lang w:val="fr-FR"/>
        </w:rPr>
        <w:t xml:space="preserve"> </w:t>
      </w:r>
      <w:hyperlink r:id="rId2">
        <w:r>
          <w:rPr>
            <w:rStyle w:val="LienInternet"/>
            <w:rFonts w:ascii="Arial" w:hAnsi="Arial"/>
            <w:sz w:val="22"/>
            <w:szCs w:val="22"/>
            <w:lang w:val="en-US"/>
          </w:rPr>
          <w:t>https://doi.org/10.1016/j.jadohealth.2021.07.026</w:t>
        </w:r>
      </w:hyperlink>
      <w:r>
        <w:rPr>
          <w:rFonts w:ascii="Arial" w:hAnsi="Arial"/>
          <w:sz w:val="22"/>
          <w:szCs w:val="22"/>
          <w:lang w:val="fr-FR"/>
        </w:rPr>
        <w:t xml:space="preserve"> </w:t>
      </w:r>
    </w:p>
    <w:p>
      <w:pPr>
        <w:pStyle w:val="Corpsdetexte"/>
        <w:bidi w:val="0"/>
        <w:spacing w:before="0" w:after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Corpsdetexte"/>
        <w:bidi w:val="0"/>
        <w:spacing w:before="0" w:after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Ch</w:t>
      </w:r>
      <w:r>
        <w:rPr>
          <w:rFonts w:ascii="Arial" w:hAnsi="Arial"/>
          <w:sz w:val="22"/>
          <w:szCs w:val="22"/>
          <w:lang w:val="fr-FR"/>
        </w:rPr>
        <w:t>er comité de</w:t>
      </w:r>
      <w:r>
        <w:rPr>
          <w:rFonts w:ascii="Arial" w:hAnsi="Arial"/>
          <w:sz w:val="22"/>
          <w:szCs w:val="22"/>
          <w:lang w:val="fr-FR"/>
        </w:rPr>
        <w:t xml:space="preserve"> rédaction</w:t>
      </w:r>
      <w:r>
        <w:rPr>
          <w:rFonts w:ascii="Arial" w:hAnsi="Arial"/>
          <w:sz w:val="22"/>
          <w:szCs w:val="22"/>
          <w:lang w:val="fr-FR"/>
        </w:rPr>
        <w:t>,</w:t>
      </w:r>
    </w:p>
    <w:p>
      <w:pPr>
        <w:pStyle w:val="Corpsdetexte"/>
        <w:bidi w:val="0"/>
        <w:spacing w:before="0" w:after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Corpsdetexte"/>
        <w:bidi w:val="0"/>
        <w:spacing w:before="0" w:after="0"/>
        <w:jc w:val="start"/>
        <w:rPr/>
      </w:pPr>
      <w:r>
        <w:rPr>
          <w:rFonts w:ascii="Arial" w:hAnsi="Arial"/>
          <w:sz w:val="22"/>
          <w:szCs w:val="22"/>
          <w:lang w:val="fr-FR"/>
        </w:rPr>
        <w:t xml:space="preserve">La pandémie de Covid-19 pourrait </w:t>
      </w:r>
      <w:r>
        <w:rPr>
          <w:rFonts w:ascii="Arial" w:hAnsi="Arial"/>
          <w:sz w:val="22"/>
          <w:szCs w:val="22"/>
          <w:lang w:val="fr-FR"/>
        </w:rPr>
        <w:t>anéantir</w:t>
      </w:r>
      <w:r>
        <w:rPr>
          <w:rFonts w:ascii="Arial" w:hAnsi="Arial"/>
          <w:sz w:val="22"/>
          <w:szCs w:val="22"/>
          <w:lang w:val="fr-FR"/>
        </w:rPr>
        <w:t xml:space="preserve"> des décennies de progrès en matière d’égalité des genres et de droits des femmes et des filles, notamment les efforts internationaux pour </w:t>
      </w:r>
      <w:r>
        <w:rPr>
          <w:rFonts w:ascii="Arial" w:hAnsi="Arial"/>
          <w:sz w:val="22"/>
          <w:szCs w:val="22"/>
          <w:lang w:val="fr-FR"/>
        </w:rPr>
        <w:t>la prévention d</w:t>
      </w:r>
      <w:r>
        <w:rPr>
          <w:rFonts w:ascii="Arial" w:hAnsi="Arial"/>
          <w:sz w:val="22"/>
          <w:szCs w:val="22"/>
          <w:lang w:val="fr-FR"/>
        </w:rPr>
        <w:t>e</w:t>
      </w:r>
      <w:r>
        <w:rPr>
          <w:rFonts w:ascii="Arial" w:hAnsi="Arial"/>
          <w:sz w:val="22"/>
          <w:szCs w:val="22"/>
          <w:lang w:val="fr-FR"/>
        </w:rPr>
        <w:t>s unions et mariages d’enfants, précoces et forcés</w:t>
      </w:r>
      <w:r>
        <w:rPr>
          <w:rFonts w:ascii="Arial" w:hAnsi="Arial"/>
          <w:i w:val="false"/>
          <w:iCs w:val="false"/>
          <w:sz w:val="22"/>
          <w:szCs w:val="22"/>
          <w:lang w:val="fr-FR"/>
        </w:rPr>
        <w:t xml:space="preserve"> (CEFMU).</w:t>
      </w:r>
      <w:r>
        <w:rPr>
          <w:rFonts w:ascii="Arial" w:hAnsi="Arial"/>
          <w:sz w:val="22"/>
          <w:szCs w:val="22"/>
          <w:lang w:val="fr-FR"/>
        </w:rPr>
        <w:t xml:space="preserve"> On estime que jusqu’à 10 millions de filles </w:t>
      </w:r>
      <w:r>
        <w:rPr>
          <w:rFonts w:ascii="Arial" w:hAnsi="Arial"/>
          <w:sz w:val="22"/>
          <w:szCs w:val="22"/>
          <w:lang w:val="fr-FR"/>
        </w:rPr>
        <w:t>supplémentaires</w:t>
      </w:r>
      <w:r>
        <w:rPr>
          <w:rFonts w:ascii="Arial" w:hAnsi="Arial"/>
          <w:sz w:val="22"/>
          <w:szCs w:val="22"/>
          <w:lang w:val="fr-FR"/>
        </w:rPr>
        <w:t xml:space="preserve"> risque</w:t>
      </w:r>
      <w:r>
        <w:rPr>
          <w:rFonts w:ascii="Arial" w:hAnsi="Arial"/>
          <w:sz w:val="22"/>
          <w:szCs w:val="22"/>
          <w:lang w:val="fr-FR"/>
        </w:rPr>
        <w:t>ro</w:t>
      </w:r>
      <w:r>
        <w:rPr>
          <w:rFonts w:ascii="Arial" w:hAnsi="Arial"/>
          <w:sz w:val="22"/>
          <w:szCs w:val="22"/>
          <w:lang w:val="fr-FR"/>
        </w:rPr>
        <w:t>nt d’</w:t>
      </w:r>
      <w:r>
        <w:rPr>
          <w:rFonts w:ascii="Arial" w:hAnsi="Arial"/>
          <w:sz w:val="22"/>
          <w:szCs w:val="22"/>
          <w:lang w:val="fr-FR"/>
        </w:rPr>
        <w:t>être mariées</w:t>
      </w:r>
      <w:r>
        <w:rPr>
          <w:rFonts w:ascii="Arial" w:hAnsi="Arial"/>
          <w:sz w:val="22"/>
          <w:szCs w:val="22"/>
          <w:lang w:val="fr-FR"/>
        </w:rPr>
        <w:t xml:space="preserve"> au cours de la prochaine décennie du fait de la pandémie</w:t>
      </w:r>
      <w:r>
        <w:rPr>
          <w:rFonts w:ascii="Arial" w:hAnsi="Arial"/>
          <w:sz w:val="22"/>
          <w:szCs w:val="22"/>
          <w:lang w:val="fr-FR"/>
        </w:rPr>
        <w:t xml:space="preserve"> </w:t>
      </w:r>
      <w:r>
        <w:fldChar w:fldCharType="begin"/>
      </w:r>
      <w:r>
        <w:rPr>
          <w:rStyle w:val="LienInternet"/>
          <w:sz w:val="22"/>
          <w:szCs w:val="22"/>
          <w:rFonts w:ascii="Arial" w:hAnsi="Arial"/>
        </w:rPr>
        <w:instrText> HYPERLINK "https://www.jahonline.org/article/S1054-139X(21)00383-9/fulltext" \l "bib1"</w:instrText>
      </w:r>
      <w:r>
        <w:rPr>
          <w:rStyle w:val="LienInternet"/>
          <w:sz w:val="22"/>
          <w:szCs w:val="22"/>
          <w:rFonts w:ascii="Arial" w:hAnsi="Arial"/>
        </w:rPr>
        <w:fldChar w:fldCharType="separate"/>
      </w:r>
      <w:bookmarkStart w:id="0" w:name="back-bib1"/>
      <w:bookmarkEnd w:id="0"/>
      <w:r>
        <w:rPr>
          <w:rStyle w:val="LienInternet"/>
          <w:rFonts w:ascii="Arial" w:hAnsi="Arial"/>
          <w:sz w:val="22"/>
          <w:szCs w:val="22"/>
        </w:rPr>
        <w:t>[1]</w:t>
      </w:r>
      <w:r>
        <w:rPr>
          <w:rStyle w:val="LienInternet"/>
          <w:sz w:val="22"/>
          <w:szCs w:val="22"/>
          <w:rFonts w:ascii="Arial" w:hAnsi="Arial"/>
        </w:rPr>
        <w:fldChar w:fldCharType="end"/>
      </w:r>
      <w:r>
        <w:rPr>
          <w:rFonts w:ascii="Arial" w:hAnsi="Arial"/>
          <w:sz w:val="22"/>
          <w:szCs w:val="22"/>
          <w:lang w:val="fr-FR"/>
        </w:rPr>
        <w:t>. Même avant l</w:t>
      </w:r>
      <w:r>
        <w:rPr>
          <w:rFonts w:ascii="Arial" w:hAnsi="Arial"/>
          <w:sz w:val="22"/>
          <w:szCs w:val="22"/>
          <w:lang w:val="fr-FR"/>
        </w:rPr>
        <w:t>a crise sanitaire</w:t>
      </w:r>
      <w:r>
        <w:rPr>
          <w:rFonts w:ascii="Arial" w:hAnsi="Arial"/>
          <w:sz w:val="22"/>
          <w:szCs w:val="22"/>
          <w:lang w:val="fr-FR"/>
        </w:rPr>
        <w:t>, l</w:t>
      </w:r>
      <w:r>
        <w:rPr>
          <w:rFonts w:ascii="Arial" w:hAnsi="Arial"/>
          <w:sz w:val="22"/>
          <w:szCs w:val="22"/>
          <w:lang w:val="fr-FR"/>
        </w:rPr>
        <w:t>es</w:t>
      </w:r>
      <w:r>
        <w:rPr>
          <w:rFonts w:ascii="Arial" w:hAnsi="Arial"/>
          <w:sz w:val="22"/>
          <w:szCs w:val="22"/>
          <w:lang w:val="fr-FR"/>
        </w:rPr>
        <w:t xml:space="preserve"> pays en passe de mettre fin aux mariages d’enfants d’ici à 2030 </w:t>
      </w:r>
      <w:r>
        <w:rPr>
          <w:rFonts w:ascii="Arial" w:hAnsi="Arial"/>
          <w:sz w:val="22"/>
          <w:szCs w:val="22"/>
          <w:lang w:val="fr-FR"/>
        </w:rPr>
        <w:t>étai</w:t>
      </w:r>
      <w:r>
        <w:rPr>
          <w:rFonts w:ascii="Arial" w:hAnsi="Arial"/>
          <w:sz w:val="22"/>
          <w:szCs w:val="22"/>
          <w:lang w:val="fr-FR"/>
        </w:rPr>
        <w:t>en</w:t>
      </w:r>
      <w:r>
        <w:rPr>
          <w:rFonts w:ascii="Arial" w:hAnsi="Arial"/>
          <w:sz w:val="22"/>
          <w:szCs w:val="22"/>
          <w:lang w:val="fr-FR"/>
        </w:rPr>
        <w:t>t peu nombreux</w:t>
      </w:r>
      <w:r>
        <w:rPr>
          <w:rFonts w:ascii="Arial" w:hAnsi="Arial"/>
          <w:sz w:val="22"/>
          <w:szCs w:val="22"/>
          <w:lang w:val="fr-FR"/>
        </w:rPr>
        <w:t xml:space="preserve">. </w:t>
      </w:r>
      <w:r>
        <w:rPr>
          <w:rFonts w:ascii="Arial" w:hAnsi="Arial"/>
          <w:sz w:val="22"/>
          <w:szCs w:val="22"/>
          <w:lang w:val="fr-FR"/>
        </w:rPr>
        <w:t>Il s’agit pourtant de l’un des objectifs suivis d</w:t>
      </w:r>
      <w:r>
        <w:rPr>
          <w:rFonts w:ascii="Arial" w:hAnsi="Arial"/>
          <w:sz w:val="22"/>
          <w:szCs w:val="22"/>
          <w:lang w:val="fr-FR"/>
        </w:rPr>
        <w:t xml:space="preserve">ans le cadre de l’Objectif de développement durable n° 5 </w:t>
      </w:r>
      <w:r>
        <w:rPr>
          <w:rFonts w:ascii="Arial" w:hAnsi="Arial"/>
          <w:sz w:val="22"/>
          <w:szCs w:val="22"/>
          <w:lang w:val="fr-FR"/>
        </w:rPr>
        <w:t xml:space="preserve">de l’Organisation </w:t>
      </w:r>
      <w:r>
        <w:rPr>
          <w:rFonts w:ascii="Arial" w:hAnsi="Arial"/>
          <w:sz w:val="22"/>
          <w:szCs w:val="22"/>
          <w:lang w:val="fr-FR"/>
        </w:rPr>
        <w:t>des Nations unies</w:t>
      </w:r>
      <w:r>
        <w:rPr>
          <w:rFonts w:ascii="Arial" w:hAnsi="Arial"/>
          <w:sz w:val="22"/>
          <w:szCs w:val="22"/>
          <w:lang w:val="fr-FR"/>
        </w:rPr>
        <w:t> : Parvenir à l’égalité des sexes en autonomisant les femmes et les filles.</w:t>
      </w:r>
    </w:p>
    <w:p>
      <w:pPr>
        <w:pStyle w:val="Corpsdetexte"/>
        <w:bidi w:val="0"/>
        <w:spacing w:before="0" w:after="0"/>
        <w:jc w:val="start"/>
        <w:rPr>
          <w:lang w:val="fr-FR"/>
        </w:rPr>
      </w:pPr>
      <w:r>
        <w:rPr>
          <w:rFonts w:ascii="Arial" w:hAnsi="Arial"/>
          <w:sz w:val="22"/>
          <w:szCs w:val="22"/>
        </w:rPr>
      </w:r>
    </w:p>
    <w:p>
      <w:pPr>
        <w:pStyle w:val="Corpsdetexte"/>
        <w:bidi w:val="0"/>
        <w:spacing w:before="0" w:after="0"/>
        <w:jc w:val="start"/>
        <w:rPr/>
      </w:pPr>
      <w:r>
        <w:rPr>
          <w:rFonts w:ascii="Arial" w:hAnsi="Arial"/>
          <w:sz w:val="22"/>
          <w:szCs w:val="22"/>
          <w:lang w:val="fr-FR"/>
        </w:rPr>
        <w:t xml:space="preserve">Dans un tel contexte, l’article </w:t>
      </w:r>
      <w:r>
        <w:rPr>
          <w:rFonts w:ascii="Arial" w:hAnsi="Arial"/>
          <w:i/>
          <w:iCs/>
          <w:sz w:val="22"/>
          <w:szCs w:val="22"/>
          <w:lang w:val="fr-FR"/>
        </w:rPr>
        <w:t xml:space="preserve">20 years of the evidence base on what works to prevent child marriage: </w:t>
      </w:r>
      <w:r>
        <w:rPr>
          <w:rFonts w:ascii="Arial" w:hAnsi="Arial"/>
          <w:i/>
          <w:iCs/>
          <w:sz w:val="22"/>
          <w:szCs w:val="22"/>
          <w:lang w:val="fr-FR"/>
        </w:rPr>
        <w:t>A</w:t>
      </w:r>
      <w:r>
        <w:rPr>
          <w:rFonts w:ascii="Arial" w:hAnsi="Arial"/>
          <w:i/>
          <w:iCs/>
          <w:sz w:val="22"/>
          <w:szCs w:val="22"/>
          <w:lang w:val="fr-FR"/>
        </w:rPr>
        <w:t xml:space="preserve"> systematic review</w:t>
      </w:r>
      <w:r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 xml:space="preserve">(« 20 ans de données probantes sur </w:t>
      </w:r>
      <w:r>
        <w:rPr>
          <w:rFonts w:ascii="Arial" w:hAnsi="Arial"/>
          <w:sz w:val="22"/>
          <w:szCs w:val="22"/>
          <w:lang w:val="fr-FR"/>
        </w:rPr>
        <w:t>les mesures permettant de</w:t>
      </w:r>
      <w:r>
        <w:rPr>
          <w:rFonts w:ascii="Arial" w:hAnsi="Arial"/>
          <w:sz w:val="22"/>
          <w:szCs w:val="22"/>
          <w:lang w:val="fr-FR"/>
        </w:rPr>
        <w:t xml:space="preserve"> prévenir les mariages d’enfants : </w:t>
      </w:r>
      <w:r>
        <w:rPr>
          <w:rFonts w:ascii="Arial" w:hAnsi="Arial"/>
          <w:sz w:val="22"/>
          <w:szCs w:val="22"/>
          <w:lang w:val="fr-FR"/>
        </w:rPr>
        <w:t>u</w:t>
      </w:r>
      <w:r>
        <w:rPr>
          <w:rFonts w:ascii="Arial" w:hAnsi="Arial"/>
          <w:sz w:val="22"/>
          <w:szCs w:val="22"/>
          <w:lang w:val="fr-FR"/>
        </w:rPr>
        <w:t>n examen systématique »)</w:t>
      </w:r>
      <w:r>
        <w:rPr>
          <w:rFonts w:ascii="Arial" w:hAnsi="Arial"/>
          <w:sz w:val="22"/>
          <w:szCs w:val="22"/>
          <w:lang w:val="fr-FR"/>
        </w:rPr>
        <w:t xml:space="preserve"> </w:t>
      </w:r>
      <w:r>
        <w:fldChar w:fldCharType="begin"/>
      </w:r>
      <w:r>
        <w:rPr>
          <w:rStyle w:val="LienInternet"/>
          <w:sz w:val="22"/>
          <w:szCs w:val="22"/>
          <w:rFonts w:ascii="Arial" w:hAnsi="Arial"/>
        </w:rPr>
        <w:instrText> HYPERLINK "https://www.jahonline.org/article/S1054-139X(21)00383-9/fulltext" \l "bib2"</w:instrText>
      </w:r>
      <w:r>
        <w:rPr>
          <w:rStyle w:val="LienInternet"/>
          <w:sz w:val="22"/>
          <w:szCs w:val="22"/>
          <w:rFonts w:ascii="Arial" w:hAnsi="Arial"/>
        </w:rPr>
        <w:fldChar w:fldCharType="separate"/>
      </w:r>
      <w:r>
        <w:rPr>
          <w:rStyle w:val="LienInternet"/>
          <w:rFonts w:ascii="Arial" w:hAnsi="Arial"/>
          <w:sz w:val="22"/>
          <w:szCs w:val="22"/>
        </w:rPr>
        <w:t>[2]</w:t>
      </w:r>
      <w:r>
        <w:rPr>
          <w:rStyle w:val="LienInternet"/>
          <w:sz w:val="22"/>
          <w:szCs w:val="22"/>
          <w:rFonts w:ascii="Arial" w:hAnsi="Arial"/>
        </w:rPr>
        <w:fldChar w:fldCharType="end"/>
      </w:r>
      <w:r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 xml:space="preserve">publié en mai 2021 dans le Journal of Adolescent Health </w:t>
      </w:r>
      <w:r>
        <w:rPr>
          <w:rFonts w:ascii="Arial" w:hAnsi="Arial"/>
          <w:sz w:val="22"/>
          <w:szCs w:val="22"/>
          <w:lang w:val="fr-FR"/>
        </w:rPr>
        <w:t>constitue</w:t>
      </w:r>
      <w:r>
        <w:rPr>
          <w:rFonts w:ascii="Arial" w:hAnsi="Arial"/>
          <w:sz w:val="22"/>
          <w:szCs w:val="22"/>
          <w:lang w:val="fr-FR"/>
        </w:rPr>
        <w:t xml:space="preserve"> une initiative opportune visant à identifier les </w:t>
      </w:r>
      <w:r>
        <w:rPr>
          <w:rFonts w:ascii="Arial" w:hAnsi="Arial"/>
          <w:sz w:val="22"/>
          <w:szCs w:val="22"/>
          <w:lang w:val="fr-FR"/>
        </w:rPr>
        <w:t>interventions</w:t>
      </w:r>
      <w:r>
        <w:rPr>
          <w:rFonts w:ascii="Arial" w:hAnsi="Arial"/>
          <w:sz w:val="22"/>
          <w:szCs w:val="22"/>
          <w:lang w:val="fr-FR"/>
        </w:rPr>
        <w:t xml:space="preserve"> efficaces en matière de prévention d</w:t>
      </w:r>
      <w:r>
        <w:rPr>
          <w:rFonts w:ascii="Arial" w:hAnsi="Arial"/>
          <w:sz w:val="22"/>
          <w:szCs w:val="22"/>
          <w:lang w:val="fr-FR"/>
        </w:rPr>
        <w:t>es</w:t>
      </w:r>
      <w:r>
        <w:rPr>
          <w:rFonts w:ascii="Arial" w:hAnsi="Arial"/>
          <w:sz w:val="22"/>
          <w:szCs w:val="22"/>
          <w:lang w:val="fr-FR"/>
        </w:rPr>
        <w:t xml:space="preserve"> mariage</w:t>
      </w:r>
      <w:r>
        <w:rPr>
          <w:rFonts w:ascii="Arial" w:hAnsi="Arial"/>
          <w:sz w:val="22"/>
          <w:szCs w:val="22"/>
          <w:lang w:val="fr-FR"/>
        </w:rPr>
        <w:t>s</w:t>
      </w:r>
      <w:r>
        <w:rPr>
          <w:rFonts w:ascii="Arial" w:hAnsi="Arial"/>
          <w:sz w:val="22"/>
          <w:szCs w:val="22"/>
          <w:lang w:val="fr-FR"/>
        </w:rPr>
        <w:t xml:space="preserve"> d’enfants. Cependant, nous estimons que bon nombre des hypothèses, principales conclusions et recommandations sont problématiques. Nous rejoignons la principale critique soulevée par Chandra-Mouli et Plesons </w:t>
      </w:r>
      <w:r>
        <w:fldChar w:fldCharType="begin"/>
      </w:r>
      <w:r>
        <w:rPr>
          <w:rStyle w:val="LienInternet"/>
          <w:sz w:val="22"/>
          <w:szCs w:val="22"/>
          <w:rFonts w:ascii="Arial" w:hAnsi="Arial"/>
        </w:rPr>
        <w:instrText> HYPERLINK "https://www.jahonline.org/article/S1054-139X(21)00383-9/fulltext" \l "bib3"</w:instrText>
      </w:r>
      <w:r>
        <w:rPr>
          <w:rStyle w:val="LienInternet"/>
          <w:sz w:val="22"/>
          <w:szCs w:val="22"/>
          <w:rFonts w:ascii="Arial" w:hAnsi="Arial"/>
        </w:rPr>
        <w:fldChar w:fldCharType="separate"/>
      </w:r>
      <w:bookmarkStart w:id="1" w:name="back-bib3"/>
      <w:bookmarkEnd w:id="1"/>
      <w:r>
        <w:rPr>
          <w:rStyle w:val="LienInternet"/>
          <w:rFonts w:ascii="Arial" w:hAnsi="Arial"/>
          <w:sz w:val="22"/>
          <w:szCs w:val="22"/>
        </w:rPr>
        <w:t>[3]</w:t>
      </w:r>
      <w:r>
        <w:rPr>
          <w:rStyle w:val="LienInternet"/>
          <w:sz w:val="22"/>
          <w:szCs w:val="22"/>
          <w:rFonts w:ascii="Arial" w:hAnsi="Arial"/>
        </w:rPr>
        <w:fldChar w:fldCharType="end"/>
      </w:r>
      <w:r>
        <w:rPr>
          <w:rFonts w:ascii="Arial" w:hAnsi="Arial"/>
          <w:sz w:val="22"/>
          <w:szCs w:val="22"/>
          <w:lang w:val="fr-FR"/>
        </w:rPr>
        <w:t xml:space="preserve"> dans leur commentaire </w:t>
      </w:r>
      <w:r>
        <w:rPr>
          <w:rFonts w:ascii="Arial" w:hAnsi="Arial"/>
          <w:sz w:val="22"/>
          <w:szCs w:val="22"/>
          <w:lang w:val="fr-FR"/>
        </w:rPr>
        <w:t xml:space="preserve">publié </w:t>
      </w:r>
      <w:r>
        <w:rPr>
          <w:rFonts w:ascii="Arial" w:hAnsi="Arial"/>
          <w:sz w:val="22"/>
          <w:szCs w:val="22"/>
          <w:lang w:val="fr-FR"/>
        </w:rPr>
        <w:t>dans</w:t>
      </w:r>
      <w:r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>le JAH : l’étude tire des conclusions audacieuses et catégoriques à partir d’</w:t>
      </w:r>
      <w:r>
        <w:rPr>
          <w:rFonts w:ascii="Arial" w:hAnsi="Arial"/>
          <w:sz w:val="22"/>
          <w:szCs w:val="22"/>
          <w:lang w:val="fr-FR"/>
        </w:rPr>
        <w:t>éléments</w:t>
      </w:r>
      <w:r>
        <w:rPr>
          <w:rFonts w:ascii="Arial" w:hAnsi="Arial"/>
          <w:sz w:val="22"/>
          <w:szCs w:val="22"/>
          <w:lang w:val="fr-FR"/>
        </w:rPr>
        <w:t xml:space="preserve"> actuellement trop limités et trop peu solides pour éclairer les décisions politiques et programmatiques. Nous partageons donc l’avis selon lequel « il est trop tôt pour changer toute l’orientation des programmes de prévention d</w:t>
      </w:r>
      <w:r>
        <w:rPr>
          <w:rFonts w:ascii="Arial" w:hAnsi="Arial"/>
          <w:sz w:val="22"/>
          <w:szCs w:val="22"/>
          <w:lang w:val="fr-FR"/>
        </w:rPr>
        <w:t>es</w:t>
      </w:r>
      <w:r>
        <w:rPr>
          <w:rFonts w:ascii="Arial" w:hAnsi="Arial"/>
          <w:sz w:val="22"/>
          <w:szCs w:val="22"/>
          <w:lang w:val="fr-FR"/>
        </w:rPr>
        <w:t xml:space="preserve"> mariage</w:t>
      </w:r>
      <w:r>
        <w:rPr>
          <w:rFonts w:ascii="Arial" w:hAnsi="Arial"/>
          <w:sz w:val="22"/>
          <w:szCs w:val="22"/>
          <w:lang w:val="fr-FR"/>
        </w:rPr>
        <w:t>s</w:t>
      </w:r>
      <w:r>
        <w:rPr>
          <w:rFonts w:ascii="Arial" w:hAnsi="Arial"/>
          <w:sz w:val="22"/>
          <w:szCs w:val="22"/>
          <w:lang w:val="fr-FR"/>
        </w:rPr>
        <w:t xml:space="preserve"> d’enfants » (p. 834).</w:t>
      </w:r>
    </w:p>
    <w:p>
      <w:pPr>
        <w:pStyle w:val="Corpsdetexte"/>
        <w:bidi w:val="0"/>
        <w:spacing w:before="0" w:after="0"/>
        <w:jc w:val="start"/>
        <w:rPr>
          <w:lang w:val="fr-FR"/>
        </w:rPr>
      </w:pPr>
      <w:r>
        <w:rPr>
          <w:rFonts w:ascii="Arial" w:hAnsi="Arial"/>
          <w:sz w:val="22"/>
          <w:szCs w:val="22"/>
        </w:rPr>
      </w:r>
    </w:p>
    <w:p>
      <w:pPr>
        <w:pStyle w:val="Corpsdetexte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t>La conclusion que tire l’</w:t>
      </w:r>
      <w:r>
        <w:rPr>
          <w:rFonts w:ascii="Arial" w:hAnsi="Arial"/>
          <w:sz w:val="22"/>
          <w:szCs w:val="22"/>
          <w:lang w:val="fr-FR"/>
        </w:rPr>
        <w:t>étude</w:t>
      </w:r>
      <w:r>
        <w:rPr>
          <w:rFonts w:ascii="Arial" w:hAnsi="Arial"/>
          <w:sz w:val="22"/>
          <w:szCs w:val="22"/>
          <w:lang w:val="fr-FR"/>
        </w:rPr>
        <w:t xml:space="preserve"> (sur la base de données limitées), selon laquelle les interventions à composantes multiples se caractérisent par de faibles taux de réussite et doivent être </w:t>
      </w:r>
      <w:r>
        <w:rPr>
          <w:rFonts w:ascii="Arial" w:hAnsi="Arial"/>
          <w:sz w:val="22"/>
          <w:szCs w:val="22"/>
          <w:lang w:val="fr-FR"/>
        </w:rPr>
        <w:t>réexamin</w:t>
      </w:r>
      <w:r>
        <w:rPr>
          <w:rFonts w:ascii="Arial" w:hAnsi="Arial"/>
          <w:sz w:val="22"/>
          <w:szCs w:val="22"/>
          <w:lang w:val="fr-FR"/>
        </w:rPr>
        <w:t xml:space="preserve">ées, nous préoccupe. Comme le soulignent Malhotra et Elnakib, </w:t>
      </w:r>
      <w:r>
        <w:rPr>
          <w:rFonts w:ascii="Arial" w:hAnsi="Arial"/>
          <w:sz w:val="22"/>
          <w:szCs w:val="22"/>
          <w:lang w:val="fr-FR"/>
        </w:rPr>
        <w:t xml:space="preserve">les objectifs de </w:t>
      </w:r>
      <w:r>
        <w:rPr>
          <w:rFonts w:ascii="Arial" w:hAnsi="Arial"/>
          <w:sz w:val="22"/>
          <w:szCs w:val="22"/>
          <w:lang w:val="fr-FR"/>
        </w:rPr>
        <w:t xml:space="preserve">ces programmes </w:t>
      </w:r>
      <w:r>
        <w:rPr>
          <w:rFonts w:ascii="Arial" w:hAnsi="Arial"/>
          <w:sz w:val="22"/>
          <w:szCs w:val="22"/>
          <w:lang w:val="fr-FR"/>
        </w:rPr>
        <w:t>sont</w:t>
      </w:r>
      <w:r>
        <w:rPr>
          <w:rFonts w:ascii="Arial" w:hAnsi="Arial"/>
          <w:sz w:val="22"/>
          <w:szCs w:val="22"/>
          <w:lang w:val="fr-FR"/>
        </w:rPr>
        <w:t xml:space="preserve"> multiples et interconnectés </w:t>
      </w:r>
      <w:r>
        <w:rPr>
          <w:rFonts w:ascii="Arial" w:hAnsi="Arial"/>
          <w:sz w:val="22"/>
          <w:szCs w:val="22"/>
          <w:lang w:val="fr-FR"/>
        </w:rPr>
        <w:t>et incluent</w:t>
      </w:r>
      <w:r>
        <w:rPr>
          <w:rFonts w:ascii="Arial" w:hAnsi="Arial"/>
          <w:sz w:val="22"/>
          <w:szCs w:val="22"/>
          <w:lang w:val="fr-FR"/>
        </w:rPr>
        <w:t xml:space="preserve"> notamment l’autonomisation personnelle, l’</w:t>
      </w:r>
      <w:r>
        <w:rPr>
          <w:rFonts w:ascii="Arial" w:hAnsi="Arial"/>
          <w:sz w:val="22"/>
          <w:szCs w:val="22"/>
          <w:lang w:val="fr-FR"/>
        </w:rPr>
        <w:t>évolution</w:t>
      </w:r>
      <w:r>
        <w:rPr>
          <w:rFonts w:ascii="Arial" w:hAnsi="Arial"/>
          <w:sz w:val="22"/>
          <w:szCs w:val="22"/>
          <w:lang w:val="fr-FR"/>
        </w:rPr>
        <w:t xml:space="preserve"> des normes sociales et les changements structurels (p. 848). Bien que les</w:t>
      </w:r>
      <w:r>
        <w:rPr>
          <w:rFonts w:ascii="Arial" w:hAnsi="Arial"/>
          <w:i w:val="false"/>
          <w:iCs w:val="false"/>
          <w:sz w:val="22"/>
          <w:szCs w:val="22"/>
          <w:lang w:val="fr-FR"/>
        </w:rPr>
        <w:t xml:space="preserve"> aut</w:t>
      </w:r>
      <w:r>
        <w:rPr>
          <w:rFonts w:ascii="Arial" w:hAnsi="Arial"/>
          <w:i w:val="false"/>
          <w:iCs w:val="false"/>
          <w:sz w:val="22"/>
          <w:szCs w:val="22"/>
          <w:lang w:val="fr-FR"/>
        </w:rPr>
        <w:t>r</w:t>
      </w:r>
      <w:r>
        <w:rPr>
          <w:rFonts w:ascii="Arial" w:hAnsi="Arial"/>
          <w:i w:val="false"/>
          <w:iCs w:val="false"/>
          <w:sz w:val="22"/>
          <w:szCs w:val="22"/>
          <w:lang w:val="fr-FR"/>
        </w:rPr>
        <w:t>ice</w:t>
      </w:r>
      <w:r>
        <w:rPr>
          <w:rFonts w:ascii="Arial" w:hAnsi="Arial"/>
          <w:i w:val="false"/>
          <w:iCs w:val="false"/>
          <w:sz w:val="22"/>
          <w:szCs w:val="22"/>
          <w:lang w:val="fr-FR"/>
        </w:rPr>
        <w:t xml:space="preserve">s </w:t>
      </w:r>
      <w:r>
        <w:rPr>
          <w:rFonts w:ascii="Arial" w:hAnsi="Arial"/>
          <w:sz w:val="22"/>
          <w:szCs w:val="22"/>
          <w:lang w:val="fr-FR"/>
        </w:rPr>
        <w:t xml:space="preserve">reconnaissent </w:t>
      </w:r>
      <w:r>
        <w:rPr>
          <w:rFonts w:ascii="Arial" w:hAnsi="Arial"/>
          <w:sz w:val="22"/>
          <w:szCs w:val="22"/>
          <w:lang w:val="fr-FR"/>
        </w:rPr>
        <w:t>l’importance de ces objectifs dans le</w:t>
      </w:r>
      <w:r>
        <w:rPr>
          <w:rFonts w:ascii="Arial" w:hAnsi="Arial"/>
          <w:sz w:val="22"/>
          <w:szCs w:val="22"/>
          <w:lang w:val="fr-FR"/>
        </w:rPr>
        <w:t xml:space="preserve">s programmes </w:t>
      </w:r>
      <w:r>
        <w:rPr>
          <w:rFonts w:ascii="Arial" w:hAnsi="Arial"/>
          <w:sz w:val="22"/>
          <w:szCs w:val="22"/>
          <w:lang w:val="fr-FR"/>
        </w:rPr>
        <w:t>pour la prévention d</w:t>
      </w:r>
      <w:r>
        <w:rPr>
          <w:rFonts w:ascii="Arial" w:hAnsi="Arial"/>
          <w:sz w:val="22"/>
          <w:szCs w:val="22"/>
          <w:lang w:val="fr-FR"/>
        </w:rPr>
        <w:t>es mariages d’enfants, leur étude limite l</w:t>
      </w:r>
      <w:r>
        <w:rPr>
          <w:rFonts w:ascii="Arial" w:hAnsi="Arial"/>
          <w:sz w:val="22"/>
          <w:szCs w:val="22"/>
          <w:lang w:val="fr-FR"/>
        </w:rPr>
        <w:t>a</w:t>
      </w:r>
      <w:r>
        <w:rPr>
          <w:rFonts w:ascii="Arial" w:hAnsi="Arial"/>
          <w:sz w:val="22"/>
          <w:szCs w:val="22"/>
          <w:lang w:val="fr-FR"/>
        </w:rPr>
        <w:t xml:space="preserve"> « </w:t>
      </w:r>
      <w:r>
        <w:rPr>
          <w:rFonts w:ascii="Arial" w:hAnsi="Arial"/>
          <w:sz w:val="22"/>
          <w:szCs w:val="22"/>
          <w:lang w:val="fr-FR"/>
        </w:rPr>
        <w:t>réussite »</w:t>
      </w:r>
      <w:r>
        <w:rPr>
          <w:rFonts w:ascii="Arial" w:hAnsi="Arial"/>
          <w:sz w:val="22"/>
          <w:szCs w:val="22"/>
          <w:lang w:val="fr-FR"/>
        </w:rPr>
        <w:t xml:space="preserve"> des programmes à un indicateur </w:t>
      </w:r>
      <w:r>
        <w:rPr>
          <w:rFonts w:ascii="Arial" w:hAnsi="Arial"/>
          <w:sz w:val="22"/>
          <w:szCs w:val="22"/>
          <w:lang w:val="fr-FR"/>
        </w:rPr>
        <w:t>unique</w:t>
      </w:r>
      <w:r>
        <w:rPr>
          <w:rFonts w:ascii="Arial" w:hAnsi="Arial"/>
          <w:sz w:val="22"/>
          <w:szCs w:val="22"/>
          <w:lang w:val="fr-FR"/>
        </w:rPr>
        <w:t xml:space="preserve"> : le report </w:t>
      </w:r>
      <w:r>
        <w:rPr>
          <w:rFonts w:ascii="Arial" w:hAnsi="Arial"/>
          <w:sz w:val="22"/>
          <w:szCs w:val="22"/>
          <w:lang w:val="fr-FR"/>
        </w:rPr>
        <w:t xml:space="preserve">à 18 ans </w:t>
      </w:r>
      <w:r>
        <w:rPr>
          <w:rFonts w:ascii="Arial" w:hAnsi="Arial"/>
          <w:sz w:val="22"/>
          <w:szCs w:val="22"/>
          <w:lang w:val="fr-FR"/>
        </w:rPr>
        <w:t xml:space="preserve">de l’âge </w:t>
      </w:r>
      <w:r>
        <w:rPr>
          <w:rFonts w:ascii="Arial" w:hAnsi="Arial"/>
          <w:sz w:val="22"/>
          <w:szCs w:val="22"/>
          <w:lang w:val="fr-FR"/>
        </w:rPr>
        <w:t xml:space="preserve">au moment </w:t>
      </w:r>
      <w:r>
        <w:rPr>
          <w:rFonts w:ascii="Arial" w:hAnsi="Arial"/>
          <w:sz w:val="22"/>
          <w:szCs w:val="22"/>
          <w:lang w:val="fr-FR"/>
        </w:rPr>
        <w:t xml:space="preserve">du mariage. Cela </w:t>
      </w:r>
      <w:r>
        <w:rPr>
          <w:rFonts w:ascii="Arial" w:hAnsi="Arial"/>
          <w:sz w:val="22"/>
          <w:szCs w:val="22"/>
          <w:lang w:val="fr-FR"/>
        </w:rPr>
        <w:t>r</w:t>
      </w:r>
      <w:r>
        <w:rPr>
          <w:rFonts w:ascii="Arial" w:hAnsi="Arial"/>
          <w:sz w:val="22"/>
          <w:szCs w:val="22"/>
          <w:lang w:val="fr-FR"/>
        </w:rPr>
        <w:t>envoie un message réducteur et potentiellement trompeur.</w:t>
      </w:r>
    </w:p>
    <w:p>
      <w:pPr>
        <w:pStyle w:val="Corpsdetexte"/>
        <w:bidi w:val="0"/>
        <w:spacing w:before="0" w:after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Corpsdetexte"/>
        <w:bidi w:val="0"/>
        <w:spacing w:before="0" w:after="0"/>
        <w:jc w:val="start"/>
        <w:rPr/>
      </w:pPr>
      <w:r>
        <w:rPr>
          <w:rFonts w:ascii="Arial" w:hAnsi="Arial"/>
          <w:sz w:val="22"/>
          <w:szCs w:val="22"/>
          <w:lang w:val="fr-FR"/>
        </w:rPr>
        <w:t>Les mariages d’enfants sont une manifestation de</w:t>
      </w:r>
      <w:r>
        <w:rPr>
          <w:rFonts w:ascii="Arial" w:hAnsi="Arial"/>
          <w:sz w:val="22"/>
          <w:szCs w:val="22"/>
          <w:lang w:val="fr-FR"/>
        </w:rPr>
        <w:t xml:space="preserve">s </w:t>
      </w:r>
      <w:r>
        <w:rPr>
          <w:rFonts w:ascii="Arial" w:hAnsi="Arial"/>
          <w:sz w:val="22"/>
          <w:szCs w:val="22"/>
          <w:lang w:val="fr-FR"/>
        </w:rPr>
        <w:t>inégalité</w:t>
      </w:r>
      <w:r>
        <w:rPr>
          <w:rFonts w:ascii="Arial" w:hAnsi="Arial"/>
          <w:sz w:val="22"/>
          <w:szCs w:val="22"/>
          <w:lang w:val="fr-FR"/>
        </w:rPr>
        <w:t>s</w:t>
      </w:r>
      <w:r>
        <w:rPr>
          <w:rFonts w:ascii="Arial" w:hAnsi="Arial"/>
          <w:sz w:val="22"/>
          <w:szCs w:val="22"/>
          <w:lang w:val="fr-FR"/>
        </w:rPr>
        <w:t xml:space="preserve"> de genre </w:t>
      </w:r>
      <w:r>
        <w:fldChar w:fldCharType="begin"/>
      </w:r>
      <w:r>
        <w:rPr>
          <w:rStyle w:val="LienInternet"/>
          <w:sz w:val="22"/>
          <w:szCs w:val="22"/>
          <w:rFonts w:ascii="Arial" w:hAnsi="Arial"/>
        </w:rPr>
        <w:instrText> HYPERLINK "https://www.jahonline.org/article/S1054-139X(21)00383-9/fulltext" \l "bib4"</w:instrText>
      </w:r>
      <w:r>
        <w:rPr>
          <w:rStyle w:val="LienInternet"/>
          <w:sz w:val="22"/>
          <w:szCs w:val="22"/>
          <w:rFonts w:ascii="Arial" w:hAnsi="Arial"/>
        </w:rPr>
        <w:fldChar w:fldCharType="separate"/>
      </w:r>
      <w:r>
        <w:rPr>
          <w:rStyle w:val="LienInternet"/>
          <w:rFonts w:ascii="Arial" w:hAnsi="Arial"/>
          <w:sz w:val="22"/>
          <w:szCs w:val="22"/>
        </w:rPr>
        <w:t>[4]</w:t>
      </w:r>
      <w:r>
        <w:rPr>
          <w:rStyle w:val="LienInternet"/>
          <w:sz w:val="22"/>
          <w:szCs w:val="22"/>
          <w:rFonts w:ascii="Arial" w:hAnsi="Arial"/>
        </w:rPr>
        <w:fldChar w:fldCharType="end"/>
      </w:r>
      <w:r>
        <w:rPr>
          <w:rFonts w:ascii="Arial" w:hAnsi="Arial"/>
          <w:sz w:val="22"/>
          <w:szCs w:val="22"/>
          <w:lang w:val="fr-FR"/>
        </w:rPr>
        <w:t xml:space="preserve">, et les forces patriarcales qui contrôlent la sexualité des filles et des femmes et entravent leur pouvoir </w:t>
      </w:r>
      <w:r>
        <w:rPr>
          <w:rFonts w:ascii="Arial" w:hAnsi="Arial"/>
          <w:sz w:val="22"/>
          <w:szCs w:val="22"/>
          <w:lang w:val="fr-FR"/>
        </w:rPr>
        <w:t xml:space="preserve">d’action </w:t>
      </w:r>
      <w:r>
        <w:rPr>
          <w:rFonts w:ascii="Arial" w:hAnsi="Arial"/>
          <w:sz w:val="22"/>
          <w:szCs w:val="22"/>
          <w:lang w:val="fr-FR"/>
        </w:rPr>
        <w:t>et décisionnel et</w:t>
      </w:r>
      <w:r>
        <w:rPr>
          <w:rFonts w:ascii="Arial" w:hAnsi="Arial"/>
          <w:sz w:val="22"/>
          <w:szCs w:val="22"/>
          <w:lang w:val="fr-FR"/>
        </w:rPr>
        <w:t xml:space="preserve"> leur autonomie ne disparaissent pas lorsqu’une fille atteint </w:t>
      </w:r>
      <w:r>
        <w:rPr>
          <w:rFonts w:ascii="Arial" w:hAnsi="Arial"/>
          <w:sz w:val="22"/>
          <w:szCs w:val="22"/>
          <w:lang w:val="fr-FR"/>
        </w:rPr>
        <w:t>l’âge de</w:t>
      </w:r>
      <w:r>
        <w:rPr>
          <w:rFonts w:ascii="Arial" w:hAnsi="Arial"/>
          <w:sz w:val="22"/>
          <w:szCs w:val="22"/>
          <w:lang w:val="fr-FR"/>
        </w:rPr>
        <w:t xml:space="preserve"> 18 ans. Par exemple, si une fille </w:t>
      </w:r>
      <w:r>
        <w:rPr>
          <w:rFonts w:ascii="Arial" w:hAnsi="Arial"/>
          <w:sz w:val="22"/>
          <w:szCs w:val="22"/>
          <w:lang w:val="fr-FR"/>
        </w:rPr>
        <w:t>ayant</w:t>
      </w:r>
      <w:r>
        <w:rPr>
          <w:rFonts w:ascii="Arial" w:hAnsi="Arial"/>
          <w:sz w:val="22"/>
          <w:szCs w:val="22"/>
          <w:lang w:val="fr-FR"/>
        </w:rPr>
        <w:t xml:space="preserve"> participé à un programme est ensuite mariée à 18 ans contre son gré, et si ce mariage est une relation inégalitaire, répressive et violente, l’examen systématique considérera </w:t>
      </w:r>
      <w:r>
        <w:rPr>
          <w:rFonts w:ascii="Arial" w:hAnsi="Arial"/>
          <w:sz w:val="22"/>
          <w:szCs w:val="22"/>
          <w:lang w:val="fr-FR"/>
        </w:rPr>
        <w:t>tout de</w:t>
      </w:r>
      <w:r>
        <w:rPr>
          <w:rFonts w:ascii="Arial" w:hAnsi="Arial"/>
          <w:sz w:val="22"/>
          <w:szCs w:val="22"/>
          <w:lang w:val="fr-FR"/>
        </w:rPr>
        <w:t xml:space="preserve"> même l’intervention comme réussie. Il en va de même pour une fille contrainte de quitter l</w:t>
      </w:r>
      <w:r>
        <w:rPr>
          <w:rFonts w:ascii="Arial" w:hAnsi="Arial"/>
          <w:sz w:val="22"/>
          <w:szCs w:val="22"/>
          <w:lang w:val="fr-FR"/>
        </w:rPr>
        <w:t>e lycée</w:t>
      </w:r>
      <w:r>
        <w:rPr>
          <w:rFonts w:ascii="Arial" w:hAnsi="Arial"/>
          <w:sz w:val="22"/>
          <w:szCs w:val="22"/>
          <w:lang w:val="fr-FR"/>
        </w:rPr>
        <w:t xml:space="preserve"> pour se marier à 18 ans. De </w:t>
      </w:r>
      <w:r>
        <w:rPr>
          <w:rFonts w:ascii="Arial" w:hAnsi="Arial"/>
          <w:sz w:val="22"/>
          <w:szCs w:val="22"/>
          <w:lang w:val="fr-FR"/>
        </w:rPr>
        <w:t>la</w:t>
      </w:r>
      <w:r>
        <w:rPr>
          <w:rFonts w:ascii="Arial" w:hAnsi="Arial"/>
          <w:sz w:val="22"/>
          <w:szCs w:val="22"/>
          <w:lang w:val="fr-FR"/>
        </w:rPr>
        <w:t xml:space="preserve"> même </w:t>
      </w:r>
      <w:r>
        <w:rPr>
          <w:rFonts w:ascii="Arial" w:hAnsi="Arial"/>
          <w:sz w:val="22"/>
          <w:szCs w:val="22"/>
          <w:lang w:val="fr-FR"/>
        </w:rPr>
        <w:t>façon</w:t>
      </w:r>
      <w:r>
        <w:rPr>
          <w:rFonts w:ascii="Arial" w:hAnsi="Arial"/>
          <w:sz w:val="22"/>
          <w:szCs w:val="22"/>
          <w:lang w:val="fr-FR"/>
        </w:rPr>
        <w:t xml:space="preserve">, un programme au terme duquel une fille se marie après l’âge de 18 ans sans que sa </w:t>
      </w:r>
      <w:r>
        <w:rPr>
          <w:rFonts w:ascii="Arial" w:hAnsi="Arial"/>
          <w:sz w:val="22"/>
          <w:szCs w:val="22"/>
          <w:lang w:val="fr-FR"/>
        </w:rPr>
        <w:t>liberté de mouvement</w:t>
      </w:r>
      <w:r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>ou</w:t>
      </w:r>
      <w:r>
        <w:rPr>
          <w:rFonts w:ascii="Arial" w:hAnsi="Arial"/>
          <w:sz w:val="22"/>
          <w:szCs w:val="22"/>
          <w:lang w:val="fr-FR"/>
        </w:rPr>
        <w:t xml:space="preserve"> s</w:t>
      </w:r>
      <w:r>
        <w:rPr>
          <w:rFonts w:ascii="Arial" w:hAnsi="Arial"/>
          <w:sz w:val="22"/>
          <w:szCs w:val="22"/>
          <w:lang w:val="fr-FR"/>
        </w:rPr>
        <w:t>on pouvoir décisionnel</w:t>
      </w:r>
      <w:r>
        <w:rPr>
          <w:rFonts w:ascii="Arial" w:hAnsi="Arial"/>
          <w:sz w:val="22"/>
          <w:szCs w:val="22"/>
          <w:lang w:val="fr-FR"/>
        </w:rPr>
        <w:t xml:space="preserve"> sur la procréation ou </w:t>
      </w:r>
      <w:r>
        <w:rPr>
          <w:rFonts w:ascii="Arial" w:hAnsi="Arial"/>
          <w:sz w:val="22"/>
          <w:szCs w:val="22"/>
          <w:lang w:val="fr-FR"/>
        </w:rPr>
        <w:t xml:space="preserve">sur </w:t>
      </w:r>
      <w:r>
        <w:rPr>
          <w:rFonts w:ascii="Arial" w:hAnsi="Arial"/>
          <w:sz w:val="22"/>
          <w:szCs w:val="22"/>
          <w:lang w:val="fr-FR"/>
        </w:rPr>
        <w:t xml:space="preserve">d’autres questions </w:t>
      </w:r>
      <w:r>
        <w:rPr>
          <w:rFonts w:ascii="Arial" w:hAnsi="Arial"/>
          <w:sz w:val="22"/>
          <w:szCs w:val="22"/>
          <w:lang w:val="fr-FR"/>
        </w:rPr>
        <w:t xml:space="preserve">se </w:t>
      </w:r>
      <w:r>
        <w:rPr>
          <w:rFonts w:ascii="Arial" w:hAnsi="Arial"/>
          <w:sz w:val="22"/>
          <w:szCs w:val="22"/>
          <w:lang w:val="fr-FR"/>
        </w:rPr>
        <w:t xml:space="preserve">soient améliorés </w:t>
      </w:r>
      <w:r>
        <w:rPr>
          <w:rFonts w:ascii="Arial" w:hAnsi="Arial"/>
          <w:sz w:val="22"/>
          <w:szCs w:val="22"/>
          <w:lang w:val="fr-FR"/>
        </w:rPr>
        <w:t>sera</w:t>
      </w:r>
      <w:r>
        <w:rPr>
          <w:rFonts w:ascii="Arial" w:hAnsi="Arial"/>
          <w:sz w:val="22"/>
          <w:szCs w:val="22"/>
          <w:lang w:val="fr-FR"/>
        </w:rPr>
        <w:t xml:space="preserve"> considéré comme </w:t>
      </w:r>
      <w:r>
        <w:rPr>
          <w:rFonts w:ascii="Arial" w:hAnsi="Arial"/>
          <w:sz w:val="22"/>
          <w:szCs w:val="22"/>
          <w:lang w:val="fr-FR"/>
        </w:rPr>
        <w:t>ayant atteint ses objectifs</w:t>
      </w:r>
      <w:r>
        <w:rPr>
          <w:rFonts w:ascii="Arial" w:hAnsi="Arial"/>
          <w:sz w:val="22"/>
          <w:szCs w:val="22"/>
          <w:lang w:val="fr-FR"/>
        </w:rPr>
        <w:t xml:space="preserve"> selon les critères de cette étude. Par conséquent, bien que l’âge </w:t>
      </w:r>
      <w:r>
        <w:rPr>
          <w:rFonts w:ascii="Arial" w:hAnsi="Arial"/>
          <w:sz w:val="22"/>
          <w:szCs w:val="22"/>
          <w:lang w:val="fr-FR"/>
        </w:rPr>
        <w:t xml:space="preserve">au moment </w:t>
      </w:r>
      <w:r>
        <w:rPr>
          <w:rFonts w:ascii="Arial" w:hAnsi="Arial"/>
          <w:sz w:val="22"/>
          <w:szCs w:val="22"/>
          <w:lang w:val="fr-FR"/>
        </w:rPr>
        <w:t xml:space="preserve">du mariage puisse fournir un </w:t>
      </w:r>
      <w:r>
        <w:rPr>
          <w:rFonts w:ascii="Arial" w:hAnsi="Arial"/>
          <w:sz w:val="22"/>
          <w:szCs w:val="22"/>
          <w:lang w:val="fr-FR"/>
        </w:rPr>
        <w:t>aperçu</w:t>
      </w:r>
      <w:r>
        <w:rPr>
          <w:rFonts w:ascii="Arial" w:hAnsi="Arial"/>
          <w:sz w:val="22"/>
          <w:szCs w:val="22"/>
          <w:lang w:val="fr-FR"/>
        </w:rPr>
        <w:t xml:space="preserve"> de la vie des filles et des femmes, il ne peut </w:t>
      </w:r>
      <w:r>
        <w:rPr>
          <w:rFonts w:ascii="Arial" w:hAnsi="Arial"/>
          <w:i/>
          <w:iCs/>
          <w:sz w:val="22"/>
          <w:szCs w:val="22"/>
          <w:lang w:val="fr-FR"/>
        </w:rPr>
        <w:t>à lui seul</w:t>
      </w:r>
      <w:r>
        <w:rPr>
          <w:rFonts w:ascii="Arial" w:hAnsi="Arial"/>
          <w:sz w:val="22"/>
          <w:szCs w:val="22"/>
          <w:lang w:val="fr-FR"/>
        </w:rPr>
        <w:t xml:space="preserve"> rendre compte de manière exhaustive de la mesure dans laquelle la dynamique d</w:t>
      </w:r>
      <w:r>
        <w:rPr>
          <w:rFonts w:ascii="Arial" w:hAnsi="Arial"/>
          <w:sz w:val="22"/>
          <w:szCs w:val="22"/>
          <w:lang w:val="fr-FR"/>
        </w:rPr>
        <w:t>e</w:t>
      </w:r>
      <w:r>
        <w:rPr>
          <w:rFonts w:ascii="Arial" w:hAnsi="Arial"/>
          <w:sz w:val="22"/>
          <w:szCs w:val="22"/>
          <w:lang w:val="fr-FR"/>
        </w:rPr>
        <w:t xml:space="preserve"> pouvoir qui sous-tend le</w:t>
      </w:r>
      <w:r>
        <w:rPr>
          <w:rFonts w:ascii="Arial" w:hAnsi="Arial"/>
          <w:sz w:val="22"/>
          <w:szCs w:val="22"/>
          <w:lang w:val="fr-FR"/>
        </w:rPr>
        <w:t>s CEFMU</w:t>
      </w:r>
      <w:r>
        <w:rPr>
          <w:rFonts w:ascii="Arial" w:hAnsi="Arial"/>
          <w:sz w:val="22"/>
          <w:szCs w:val="22"/>
          <w:lang w:val="fr-FR"/>
        </w:rPr>
        <w:t xml:space="preserve"> pourrait </w:t>
      </w:r>
      <w:r>
        <w:rPr>
          <w:rFonts w:ascii="Arial" w:hAnsi="Arial"/>
          <w:sz w:val="22"/>
          <w:szCs w:val="22"/>
          <w:lang w:val="fr-FR"/>
        </w:rPr>
        <w:t>évolu</w:t>
      </w:r>
      <w:r>
        <w:rPr>
          <w:rFonts w:ascii="Arial" w:hAnsi="Arial"/>
          <w:sz w:val="22"/>
          <w:szCs w:val="22"/>
          <w:lang w:val="fr-FR"/>
        </w:rPr>
        <w:t>er pour promouvoir une véritable autonomisation.</w:t>
      </w:r>
    </w:p>
    <w:p>
      <w:pPr>
        <w:pStyle w:val="Corpsdetexte"/>
        <w:bidi w:val="0"/>
        <w:spacing w:before="0" w:after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Corpsdetexte"/>
        <w:bidi w:val="0"/>
        <w:spacing w:before="0" w:after="0"/>
        <w:jc w:val="start"/>
        <w:rPr/>
      </w:pPr>
      <w:r>
        <w:rPr>
          <w:rFonts w:ascii="Arial" w:hAnsi="Arial"/>
          <w:sz w:val="22"/>
          <w:szCs w:val="22"/>
          <w:lang w:val="fr-FR"/>
        </w:rPr>
        <w:t xml:space="preserve">Une définition de la réussite d’un programme </w:t>
      </w:r>
      <w:r>
        <w:rPr>
          <w:rFonts w:ascii="Arial" w:hAnsi="Arial"/>
          <w:sz w:val="22"/>
          <w:szCs w:val="22"/>
          <w:lang w:val="fr-FR"/>
        </w:rPr>
        <w:t>focalisée</w:t>
      </w:r>
      <w:r>
        <w:rPr>
          <w:rFonts w:ascii="Arial" w:hAnsi="Arial"/>
          <w:sz w:val="22"/>
          <w:szCs w:val="22"/>
          <w:lang w:val="fr-FR"/>
        </w:rPr>
        <w:t xml:space="preserve"> exclusivement sur l’âge des filles à leur mariage </w:t>
      </w:r>
      <w:r>
        <w:rPr>
          <w:rFonts w:ascii="Arial" w:hAnsi="Arial"/>
          <w:sz w:val="22"/>
          <w:szCs w:val="22"/>
          <w:lang w:val="fr-FR"/>
        </w:rPr>
        <w:t>est une définition qui</w:t>
      </w:r>
      <w:r>
        <w:rPr>
          <w:rFonts w:ascii="Arial" w:hAnsi="Arial"/>
          <w:sz w:val="22"/>
          <w:szCs w:val="22"/>
          <w:lang w:val="fr-FR"/>
        </w:rPr>
        <w:t xml:space="preserve"> ne tient pas compte des causes profondes et des </w:t>
      </w:r>
      <w:r>
        <w:rPr>
          <w:rFonts w:ascii="Arial" w:hAnsi="Arial"/>
          <w:sz w:val="22"/>
          <w:szCs w:val="22"/>
          <w:lang w:val="fr-FR"/>
        </w:rPr>
        <w:t>mo</w:t>
      </w:r>
      <w:r>
        <w:rPr>
          <w:rFonts w:ascii="Arial" w:hAnsi="Arial"/>
          <w:sz w:val="22"/>
          <w:szCs w:val="22"/>
          <w:lang w:val="fr-FR"/>
        </w:rPr>
        <w:t>teurs d</w:t>
      </w:r>
      <w:r>
        <w:rPr>
          <w:rFonts w:ascii="Arial" w:hAnsi="Arial"/>
          <w:sz w:val="22"/>
          <w:szCs w:val="22"/>
          <w:lang w:val="fr-FR"/>
        </w:rPr>
        <w:t xml:space="preserve">es CEFMU, </w:t>
      </w:r>
      <w:r>
        <w:rPr>
          <w:rFonts w:ascii="Arial" w:hAnsi="Arial"/>
          <w:sz w:val="22"/>
          <w:szCs w:val="22"/>
          <w:lang w:val="fr-FR"/>
        </w:rPr>
        <w:t>comme les</w:t>
      </w:r>
      <w:r>
        <w:rPr>
          <w:rFonts w:ascii="Arial" w:hAnsi="Arial"/>
          <w:sz w:val="22"/>
          <w:szCs w:val="22"/>
          <w:lang w:val="fr-FR"/>
        </w:rPr>
        <w:t xml:space="preserve"> normes qui dévalorisent les femmes et les filles dans la société, réglementent leur sexualité </w:t>
      </w:r>
      <w:r>
        <w:fldChar w:fldCharType="begin"/>
      </w:r>
      <w:r>
        <w:rPr>
          <w:rStyle w:val="LienInternet"/>
          <w:sz w:val="22"/>
          <w:szCs w:val="22"/>
          <w:rFonts w:ascii="Arial" w:hAnsi="Arial"/>
        </w:rPr>
        <w:instrText> HYPERLINK "https://www.jahonline.org/article/S1054-139X(21)00383-9/fulltext" \l "bib5"</w:instrText>
      </w:r>
      <w:r>
        <w:rPr>
          <w:rStyle w:val="LienInternet"/>
          <w:sz w:val="22"/>
          <w:szCs w:val="22"/>
          <w:rFonts w:ascii="Arial" w:hAnsi="Arial"/>
        </w:rPr>
        <w:fldChar w:fldCharType="separate"/>
      </w:r>
      <w:bookmarkStart w:id="2" w:name="back-bib5"/>
      <w:bookmarkEnd w:id="2"/>
      <w:r>
        <w:rPr>
          <w:rStyle w:val="LienInternet"/>
          <w:rFonts w:ascii="Arial" w:hAnsi="Arial"/>
          <w:sz w:val="22"/>
          <w:szCs w:val="22"/>
        </w:rPr>
        <w:t>[5]</w:t>
      </w:r>
      <w:r>
        <w:rPr>
          <w:rStyle w:val="LienInternet"/>
          <w:sz w:val="22"/>
          <w:szCs w:val="22"/>
          <w:rFonts w:ascii="Arial" w:hAnsi="Arial"/>
        </w:rPr>
        <w:fldChar w:fldCharType="end"/>
      </w:r>
      <w:r>
        <w:rPr>
          <w:rFonts w:ascii="Arial" w:hAnsi="Arial"/>
          <w:sz w:val="22"/>
          <w:szCs w:val="22"/>
          <w:lang w:val="fr-FR"/>
        </w:rPr>
        <w:t xml:space="preserve"> et limitent leur contrôle sur leur propre vie. La prévention d</w:t>
      </w:r>
      <w:r>
        <w:rPr>
          <w:rFonts w:ascii="Arial" w:hAnsi="Arial"/>
          <w:sz w:val="22"/>
          <w:szCs w:val="22"/>
          <w:lang w:val="fr-FR"/>
        </w:rPr>
        <w:t>es CEFMU</w:t>
      </w:r>
      <w:r>
        <w:rPr>
          <w:rFonts w:ascii="Arial" w:hAnsi="Arial"/>
          <w:sz w:val="22"/>
          <w:szCs w:val="22"/>
          <w:lang w:val="fr-FR"/>
        </w:rPr>
        <w:t xml:space="preserve"> nécessite de s’attaquer à ces causes profondes par le biais d’approche</w:t>
      </w:r>
      <w:r>
        <w:rPr>
          <w:rFonts w:ascii="Arial" w:hAnsi="Arial"/>
          <w:sz w:val="22"/>
          <w:szCs w:val="22"/>
          <w:lang w:val="fr-FR"/>
        </w:rPr>
        <w:t>s</w:t>
      </w:r>
      <w:r>
        <w:rPr>
          <w:rFonts w:ascii="Arial" w:hAnsi="Arial"/>
          <w:sz w:val="22"/>
          <w:szCs w:val="22"/>
          <w:lang w:val="fr-FR"/>
        </w:rPr>
        <w:t xml:space="preserve"> transformatrice</w:t>
      </w:r>
      <w:r>
        <w:rPr>
          <w:rFonts w:ascii="Arial" w:hAnsi="Arial"/>
          <w:sz w:val="22"/>
          <w:szCs w:val="22"/>
          <w:lang w:val="fr-FR"/>
        </w:rPr>
        <w:t>s</w:t>
      </w:r>
      <w:r>
        <w:rPr>
          <w:rFonts w:ascii="Arial" w:hAnsi="Arial"/>
          <w:sz w:val="22"/>
          <w:szCs w:val="22"/>
          <w:lang w:val="fr-FR"/>
        </w:rPr>
        <w:t xml:space="preserve"> d</w:t>
      </w:r>
      <w:r>
        <w:rPr>
          <w:rFonts w:ascii="Arial" w:hAnsi="Arial"/>
          <w:sz w:val="22"/>
          <w:szCs w:val="22"/>
          <w:lang w:val="fr-FR"/>
        </w:rPr>
        <w:t>u</w:t>
      </w:r>
      <w:r>
        <w:rPr>
          <w:rFonts w:ascii="Arial" w:hAnsi="Arial"/>
          <w:sz w:val="22"/>
          <w:szCs w:val="22"/>
          <w:lang w:val="fr-FR"/>
        </w:rPr>
        <w:t xml:space="preserve"> genre qui remettent en question ces normes et les inégalités de pouvoir au sein des familles, des communautés et des institutions </w:t>
      </w:r>
      <w:r>
        <w:fldChar w:fldCharType="begin"/>
      </w:r>
      <w:r>
        <w:rPr>
          <w:rStyle w:val="LienInternet"/>
          <w:sz w:val="22"/>
          <w:szCs w:val="22"/>
          <w:rFonts w:ascii="Arial" w:hAnsi="Arial"/>
        </w:rPr>
        <w:instrText> HYPERLINK "https://www.jahonline.org/article/S1054-139X(21)00383-9/fulltext" \l "bib6"</w:instrText>
      </w:r>
      <w:r>
        <w:rPr>
          <w:rStyle w:val="LienInternet"/>
          <w:sz w:val="22"/>
          <w:szCs w:val="22"/>
          <w:rFonts w:ascii="Arial" w:hAnsi="Arial"/>
        </w:rPr>
        <w:fldChar w:fldCharType="separate"/>
      </w:r>
      <w:bookmarkStart w:id="3" w:name="back-bib6"/>
      <w:bookmarkEnd w:id="3"/>
      <w:r>
        <w:rPr>
          <w:rStyle w:val="LienInternet"/>
          <w:rFonts w:ascii="Arial" w:hAnsi="Arial"/>
          <w:sz w:val="22"/>
          <w:szCs w:val="22"/>
        </w:rPr>
        <w:t>[6]</w:t>
      </w:r>
      <w:r>
        <w:rPr>
          <w:rStyle w:val="LienInternet"/>
          <w:sz w:val="22"/>
          <w:szCs w:val="22"/>
          <w:rFonts w:ascii="Arial" w:hAnsi="Arial"/>
        </w:rPr>
        <w:fldChar w:fldCharType="end"/>
      </w:r>
      <w:r>
        <w:rPr>
          <w:rFonts w:ascii="Arial" w:hAnsi="Arial"/>
          <w:sz w:val="22"/>
          <w:szCs w:val="22"/>
          <w:lang w:val="fr-FR"/>
        </w:rPr>
        <w:t>.</w:t>
        <w:br/>
      </w:r>
    </w:p>
    <w:p>
      <w:pPr>
        <w:pStyle w:val="Corpsdetexte"/>
        <w:bidi w:val="0"/>
        <w:spacing w:before="0" w:after="0"/>
        <w:jc w:val="start"/>
        <w:rPr/>
      </w:pPr>
      <w:r>
        <w:rPr>
          <w:rFonts w:ascii="Arial" w:hAnsi="Arial"/>
          <w:sz w:val="22"/>
          <w:szCs w:val="22"/>
          <w:lang w:val="fr-FR"/>
        </w:rPr>
        <w:t xml:space="preserve">Les programmes </w:t>
      </w:r>
      <w:r>
        <w:rPr>
          <w:rFonts w:ascii="Arial" w:hAnsi="Arial"/>
          <w:sz w:val="22"/>
          <w:szCs w:val="22"/>
          <w:lang w:val="fr-FR"/>
        </w:rPr>
        <w:t>incitant</w:t>
      </w:r>
      <w:r>
        <w:rPr>
          <w:rFonts w:ascii="Arial" w:hAnsi="Arial"/>
          <w:sz w:val="22"/>
          <w:szCs w:val="22"/>
          <w:lang w:val="fr-FR"/>
        </w:rPr>
        <w:t xml:space="preserve"> les familles à ne pas marier les filles avant l’âge de 18 ans, par exemple </w:t>
      </w:r>
      <w:r>
        <w:rPr>
          <w:rFonts w:ascii="Arial" w:hAnsi="Arial"/>
          <w:sz w:val="22"/>
          <w:szCs w:val="22"/>
          <w:lang w:val="fr-FR"/>
        </w:rPr>
        <w:t>l</w:t>
      </w:r>
      <w:r>
        <w:rPr>
          <w:rFonts w:ascii="Arial" w:hAnsi="Arial"/>
          <w:sz w:val="22"/>
          <w:szCs w:val="22"/>
          <w:lang w:val="fr-FR"/>
        </w:rPr>
        <w:t xml:space="preserve">es </w:t>
      </w:r>
      <w:r>
        <w:rPr>
          <w:rFonts w:ascii="Arial" w:hAnsi="Arial"/>
          <w:sz w:val="22"/>
          <w:szCs w:val="22"/>
          <w:lang w:val="fr-FR"/>
        </w:rPr>
        <w:t>transferts conditionnels en espèce</w:t>
      </w:r>
      <w:r>
        <w:rPr>
          <w:rFonts w:ascii="Arial" w:hAnsi="Arial"/>
          <w:sz w:val="22"/>
          <w:szCs w:val="22"/>
          <w:lang w:val="fr-FR"/>
        </w:rPr>
        <w:t>s</w:t>
      </w:r>
      <w:r>
        <w:rPr>
          <w:rFonts w:ascii="Arial" w:hAnsi="Arial"/>
          <w:sz w:val="22"/>
          <w:szCs w:val="22"/>
          <w:lang w:val="fr-FR"/>
        </w:rPr>
        <w:t xml:space="preserve"> dont l’étude conclut qu’ils sont parmi les plus efficaces, </w:t>
      </w:r>
      <w:r>
        <w:rPr>
          <w:rFonts w:ascii="Arial" w:hAnsi="Arial"/>
          <w:sz w:val="22"/>
          <w:szCs w:val="22"/>
          <w:lang w:val="fr-FR"/>
        </w:rPr>
        <w:t xml:space="preserve">risquent se limiter à </w:t>
      </w:r>
      <w:r>
        <w:rPr>
          <w:rFonts w:ascii="Arial" w:hAnsi="Arial"/>
          <w:sz w:val="22"/>
          <w:szCs w:val="22"/>
          <w:lang w:val="fr-FR"/>
        </w:rPr>
        <w:t xml:space="preserve">retarder l’inévitable s’ils ne sont pas accompagnés d’interventions </w:t>
      </w:r>
      <w:r>
        <w:rPr>
          <w:rFonts w:ascii="Arial" w:hAnsi="Arial"/>
          <w:sz w:val="22"/>
          <w:szCs w:val="22"/>
          <w:lang w:val="fr-FR"/>
        </w:rPr>
        <w:t>transformatrices</w:t>
      </w:r>
      <w:r>
        <w:rPr>
          <w:rFonts w:ascii="Arial" w:hAnsi="Arial"/>
          <w:sz w:val="22"/>
          <w:szCs w:val="22"/>
          <w:lang w:val="fr-FR"/>
        </w:rPr>
        <w:t xml:space="preserve"> d</w:t>
      </w:r>
      <w:r>
        <w:rPr>
          <w:rFonts w:ascii="Arial" w:hAnsi="Arial"/>
          <w:sz w:val="22"/>
          <w:szCs w:val="22"/>
          <w:lang w:val="fr-FR"/>
        </w:rPr>
        <w:t>u</w:t>
      </w:r>
      <w:r>
        <w:rPr>
          <w:rFonts w:ascii="Arial" w:hAnsi="Arial"/>
          <w:sz w:val="22"/>
          <w:szCs w:val="22"/>
          <w:lang w:val="fr-FR"/>
        </w:rPr>
        <w:t xml:space="preserve"> genre. </w:t>
      </w:r>
      <w:r>
        <w:rPr>
          <w:rFonts w:ascii="Arial" w:hAnsi="Arial"/>
          <w:sz w:val="22"/>
          <w:szCs w:val="22"/>
          <w:lang w:val="fr-FR"/>
        </w:rPr>
        <w:t>En effet, l</w:t>
      </w:r>
      <w:r>
        <w:rPr>
          <w:rFonts w:ascii="Arial" w:hAnsi="Arial"/>
          <w:sz w:val="22"/>
          <w:szCs w:val="22"/>
          <w:lang w:val="fr-FR"/>
        </w:rPr>
        <w:t xml:space="preserve">es filles peuvent </w:t>
      </w:r>
      <w:r>
        <w:rPr>
          <w:rFonts w:ascii="Arial" w:hAnsi="Arial"/>
          <w:sz w:val="22"/>
          <w:szCs w:val="22"/>
          <w:lang w:val="fr-FR"/>
        </w:rPr>
        <w:t>par exemple</w:t>
      </w:r>
      <w:r>
        <w:rPr>
          <w:rFonts w:ascii="Arial" w:hAnsi="Arial"/>
          <w:sz w:val="22"/>
          <w:szCs w:val="22"/>
          <w:lang w:val="fr-FR"/>
        </w:rPr>
        <w:t xml:space="preserve"> se marier </w:t>
      </w:r>
      <w:r>
        <w:rPr>
          <w:rFonts w:ascii="Arial" w:hAnsi="Arial"/>
          <w:sz w:val="22"/>
          <w:szCs w:val="22"/>
          <w:lang w:val="fr-FR"/>
        </w:rPr>
        <w:t>à</w:t>
      </w:r>
      <w:r>
        <w:rPr>
          <w:rFonts w:ascii="Arial" w:hAnsi="Arial"/>
          <w:sz w:val="22"/>
          <w:szCs w:val="22"/>
          <w:lang w:val="fr-FR"/>
        </w:rPr>
        <w:t xml:space="preserve"> 18 ans </w:t>
      </w:r>
      <w:r>
        <w:rPr>
          <w:rFonts w:ascii="Arial" w:hAnsi="Arial"/>
          <w:sz w:val="22"/>
          <w:szCs w:val="22"/>
          <w:lang w:val="fr-FR"/>
        </w:rPr>
        <w:t>une fois</w:t>
      </w:r>
      <w:r>
        <w:rPr>
          <w:rFonts w:ascii="Arial" w:hAnsi="Arial"/>
          <w:sz w:val="22"/>
          <w:szCs w:val="22"/>
          <w:lang w:val="fr-FR"/>
        </w:rPr>
        <w:t xml:space="preserve"> que les </w:t>
      </w:r>
      <w:r>
        <w:rPr>
          <w:rFonts w:ascii="Arial" w:hAnsi="Arial"/>
          <w:sz w:val="22"/>
          <w:szCs w:val="22"/>
          <w:lang w:val="fr-FR"/>
        </w:rPr>
        <w:t>subventions on</w:t>
      </w:r>
      <w:r>
        <w:rPr>
          <w:rFonts w:ascii="Arial" w:hAnsi="Arial"/>
          <w:sz w:val="22"/>
          <w:szCs w:val="22"/>
          <w:lang w:val="fr-FR"/>
        </w:rPr>
        <w:t>t pris fin</w:t>
      </w:r>
      <w:r>
        <w:rPr>
          <w:rFonts w:ascii="Arial" w:hAnsi="Arial"/>
          <w:sz w:val="22"/>
          <w:szCs w:val="22"/>
          <w:lang w:val="fr-FR"/>
        </w:rPr>
        <w:t xml:space="preserve">, </w:t>
      </w:r>
      <w:r>
        <w:rPr>
          <w:rFonts w:ascii="Arial" w:hAnsi="Arial"/>
          <w:sz w:val="22"/>
          <w:szCs w:val="22"/>
          <w:lang w:val="fr-FR"/>
        </w:rPr>
        <w:t xml:space="preserve">mais </w:t>
      </w:r>
      <w:r>
        <w:rPr>
          <w:rFonts w:ascii="Arial" w:hAnsi="Arial"/>
          <w:sz w:val="22"/>
          <w:szCs w:val="22"/>
          <w:lang w:val="fr-FR"/>
        </w:rPr>
        <w:t xml:space="preserve">sans </w:t>
      </w:r>
      <w:r>
        <w:rPr>
          <w:rFonts w:ascii="Arial" w:hAnsi="Arial"/>
          <w:sz w:val="22"/>
          <w:szCs w:val="22"/>
          <w:lang w:val="fr-FR"/>
        </w:rPr>
        <w:t xml:space="preserve">bénéficier d’une </w:t>
      </w:r>
      <w:r>
        <w:rPr>
          <w:rFonts w:ascii="Arial" w:hAnsi="Arial"/>
          <w:sz w:val="22"/>
          <w:szCs w:val="22"/>
          <w:lang w:val="fr-FR"/>
        </w:rPr>
        <w:t>évolution positive de</w:t>
      </w:r>
      <w:r>
        <w:rPr>
          <w:rFonts w:ascii="Arial" w:hAnsi="Arial"/>
          <w:sz w:val="22"/>
          <w:szCs w:val="22"/>
          <w:lang w:val="fr-FR"/>
        </w:rPr>
        <w:t xml:space="preserve"> leur statut </w:t>
      </w:r>
      <w:r>
        <w:rPr>
          <w:rFonts w:ascii="Arial" w:hAnsi="Arial"/>
          <w:sz w:val="22"/>
          <w:szCs w:val="22"/>
          <w:lang w:val="fr-FR"/>
        </w:rPr>
        <w:t>ni de</w:t>
      </w:r>
      <w:r>
        <w:rPr>
          <w:rFonts w:ascii="Arial" w:hAnsi="Arial"/>
          <w:sz w:val="22"/>
          <w:szCs w:val="22"/>
          <w:lang w:val="fr-FR"/>
        </w:rPr>
        <w:t xml:space="preserve"> leurs perspectives </w:t>
      </w:r>
      <w:r>
        <w:fldChar w:fldCharType="begin"/>
      </w:r>
      <w:r>
        <w:rPr>
          <w:rStyle w:val="LienInternet"/>
          <w:sz w:val="22"/>
          <w:szCs w:val="22"/>
          <w:rFonts w:ascii="Arial" w:hAnsi="Arial"/>
        </w:rPr>
        <w:instrText> HYPERLINK "https://www.jahonline.org/article/S1054-139X(21)00383-9/fulltext" \l "bib7"</w:instrText>
      </w:r>
      <w:r>
        <w:rPr>
          <w:rStyle w:val="LienInternet"/>
          <w:sz w:val="22"/>
          <w:szCs w:val="22"/>
          <w:rFonts w:ascii="Arial" w:hAnsi="Arial"/>
        </w:rPr>
        <w:fldChar w:fldCharType="separate"/>
      </w:r>
      <w:bookmarkStart w:id="4" w:name="back-bib7"/>
      <w:bookmarkEnd w:id="4"/>
      <w:r>
        <w:rPr>
          <w:rStyle w:val="LienInternet"/>
          <w:rFonts w:ascii="Arial" w:hAnsi="Arial"/>
          <w:sz w:val="22"/>
          <w:szCs w:val="22"/>
        </w:rPr>
        <w:t>[7]</w:t>
      </w:r>
      <w:r>
        <w:rPr>
          <w:rStyle w:val="LienInternet"/>
          <w:sz w:val="22"/>
          <w:szCs w:val="22"/>
          <w:rFonts w:ascii="Arial" w:hAnsi="Arial"/>
        </w:rPr>
        <w:fldChar w:fldCharType="end"/>
      </w:r>
      <w:r>
        <w:rPr>
          <w:rFonts w:ascii="Arial" w:hAnsi="Arial"/>
          <w:sz w:val="22"/>
          <w:szCs w:val="22"/>
          <w:lang w:val="fr-FR"/>
        </w:rPr>
        <w:t xml:space="preserve">. Par ailleurs, les pressions exercées </w:t>
      </w:r>
      <w:r>
        <w:rPr>
          <w:rFonts w:ascii="Arial" w:hAnsi="Arial"/>
          <w:sz w:val="22"/>
          <w:szCs w:val="22"/>
          <w:lang w:val="fr-FR"/>
        </w:rPr>
        <w:t>sur les organisations et les gouvernements</w:t>
      </w:r>
      <w:r>
        <w:rPr>
          <w:rFonts w:ascii="Arial" w:hAnsi="Arial"/>
          <w:sz w:val="22"/>
          <w:szCs w:val="22"/>
          <w:lang w:val="fr-FR"/>
        </w:rPr>
        <w:t xml:space="preserve"> pour </w:t>
      </w:r>
      <w:r>
        <w:rPr>
          <w:rFonts w:ascii="Arial" w:hAnsi="Arial"/>
          <w:sz w:val="22"/>
          <w:szCs w:val="22"/>
          <w:lang w:val="fr-FR"/>
        </w:rPr>
        <w:t xml:space="preserve">qu’ils </w:t>
      </w:r>
      <w:r>
        <w:rPr>
          <w:rFonts w:ascii="Arial" w:hAnsi="Arial"/>
          <w:sz w:val="22"/>
          <w:szCs w:val="22"/>
          <w:lang w:val="fr-FR"/>
        </w:rPr>
        <w:t>mettent en évidence les objectifs atteints</w:t>
      </w:r>
      <w:r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>risqu</w:t>
      </w:r>
      <w:r>
        <w:rPr>
          <w:rFonts w:ascii="Arial" w:hAnsi="Arial"/>
          <w:sz w:val="22"/>
          <w:szCs w:val="22"/>
          <w:lang w:val="fr-FR"/>
        </w:rPr>
        <w:t xml:space="preserve">ent </w:t>
      </w:r>
      <w:r>
        <w:rPr>
          <w:rFonts w:ascii="Arial" w:hAnsi="Arial"/>
          <w:sz w:val="22"/>
          <w:szCs w:val="22"/>
          <w:lang w:val="fr-FR"/>
        </w:rPr>
        <w:t>de</w:t>
      </w:r>
      <w:r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 xml:space="preserve">les </w:t>
      </w:r>
      <w:r>
        <w:rPr>
          <w:rFonts w:ascii="Arial" w:hAnsi="Arial"/>
          <w:sz w:val="22"/>
          <w:szCs w:val="22"/>
          <w:lang w:val="fr-FR"/>
        </w:rPr>
        <w:t>inciter à rechercher des résultats à court terme très visibles, comme l</w:t>
      </w:r>
      <w:r>
        <w:rPr>
          <w:rFonts w:ascii="Arial" w:hAnsi="Arial"/>
          <w:sz w:val="22"/>
          <w:szCs w:val="22"/>
          <w:lang w:val="fr-FR"/>
        </w:rPr>
        <w:t>e report</w:t>
      </w:r>
      <w:r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 xml:space="preserve">de l’âge </w:t>
      </w:r>
      <w:r>
        <w:rPr>
          <w:rFonts w:ascii="Arial" w:hAnsi="Arial"/>
          <w:sz w:val="22"/>
          <w:szCs w:val="22"/>
          <w:lang w:val="fr-FR"/>
        </w:rPr>
        <w:t>au moment</w:t>
      </w:r>
      <w:r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 xml:space="preserve">du mariage, </w:t>
      </w:r>
      <w:r>
        <w:rPr>
          <w:rFonts w:ascii="Arial" w:hAnsi="Arial"/>
          <w:sz w:val="22"/>
          <w:szCs w:val="22"/>
          <w:lang w:val="fr-FR"/>
        </w:rPr>
        <w:t>sans pour autant</w:t>
      </w:r>
      <w:r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>s’attaquer</w:t>
      </w:r>
      <w:r>
        <w:rPr>
          <w:rFonts w:ascii="Arial" w:hAnsi="Arial"/>
          <w:sz w:val="22"/>
          <w:szCs w:val="22"/>
          <w:lang w:val="fr-FR"/>
        </w:rPr>
        <w:t xml:space="preserve"> aux structures fondamentales de l’oppression </w:t>
      </w:r>
      <w:r>
        <w:rPr>
          <w:rFonts w:ascii="Arial" w:hAnsi="Arial"/>
          <w:sz w:val="22"/>
          <w:szCs w:val="22"/>
          <w:lang w:val="fr-FR"/>
        </w:rPr>
        <w:t>ni</w:t>
      </w:r>
      <w:r>
        <w:rPr>
          <w:rFonts w:ascii="Arial" w:hAnsi="Arial"/>
          <w:sz w:val="22"/>
          <w:szCs w:val="22"/>
          <w:lang w:val="fr-FR"/>
        </w:rPr>
        <w:t xml:space="preserve"> entreprendre d’autres investissements essentiels. Les interventions visant à prévenir le</w:t>
      </w:r>
      <w:r>
        <w:rPr>
          <w:rFonts w:ascii="Arial" w:hAnsi="Arial"/>
          <w:sz w:val="22"/>
          <w:szCs w:val="22"/>
          <w:lang w:val="fr-FR"/>
        </w:rPr>
        <w:t>s</w:t>
      </w:r>
      <w:r>
        <w:rPr>
          <w:rFonts w:ascii="Arial" w:hAnsi="Arial"/>
          <w:sz w:val="22"/>
          <w:szCs w:val="22"/>
          <w:lang w:val="fr-FR"/>
        </w:rPr>
        <w:t xml:space="preserve"> mariage</w:t>
      </w:r>
      <w:r>
        <w:rPr>
          <w:rFonts w:ascii="Arial" w:hAnsi="Arial"/>
          <w:sz w:val="22"/>
          <w:szCs w:val="22"/>
          <w:lang w:val="fr-FR"/>
        </w:rPr>
        <w:t>s</w:t>
      </w:r>
      <w:r>
        <w:rPr>
          <w:rFonts w:ascii="Arial" w:hAnsi="Arial"/>
          <w:sz w:val="22"/>
          <w:szCs w:val="22"/>
          <w:lang w:val="fr-FR"/>
        </w:rPr>
        <w:t xml:space="preserve"> d’enfants devraient constituer des points d’entrée intentionnels pour promouvoir l’autonomisation, l’autonomie corporelle et l’équité.</w:t>
        <w:br/>
      </w:r>
    </w:p>
    <w:p>
      <w:pPr>
        <w:pStyle w:val="Corpsdetexte"/>
        <w:bidi w:val="0"/>
        <w:spacing w:before="0" w:after="0"/>
        <w:jc w:val="start"/>
        <w:rPr/>
      </w:pPr>
      <w:r>
        <w:rPr>
          <w:rFonts w:ascii="Arial" w:hAnsi="Arial"/>
          <w:sz w:val="22"/>
          <w:szCs w:val="22"/>
          <w:lang w:val="fr-FR"/>
        </w:rPr>
        <w:t xml:space="preserve">Nous comprenons l’attrait </w:t>
      </w:r>
      <w:r>
        <w:rPr>
          <w:rFonts w:ascii="Arial" w:hAnsi="Arial"/>
          <w:sz w:val="22"/>
          <w:szCs w:val="22"/>
          <w:lang w:val="fr-FR"/>
        </w:rPr>
        <w:t xml:space="preserve">que présente </w:t>
      </w:r>
      <w:r>
        <w:rPr>
          <w:rFonts w:ascii="Arial" w:hAnsi="Arial"/>
          <w:sz w:val="22"/>
          <w:szCs w:val="22"/>
          <w:lang w:val="fr-FR"/>
        </w:rPr>
        <w:t xml:space="preserve">un indicateur facile à mesurer, mais </w:t>
      </w:r>
      <w:r>
        <w:rPr>
          <w:rFonts w:ascii="Arial" w:hAnsi="Arial"/>
          <w:sz w:val="22"/>
          <w:szCs w:val="22"/>
          <w:lang w:val="fr-FR"/>
        </w:rPr>
        <w:t>la complexité du problème des</w:t>
      </w:r>
      <w:r>
        <w:rPr>
          <w:rFonts w:ascii="Arial" w:hAnsi="Arial"/>
          <w:sz w:val="22"/>
          <w:szCs w:val="22"/>
          <w:lang w:val="fr-FR"/>
        </w:rPr>
        <w:t xml:space="preserve"> mariages d’enfants nécessite </w:t>
      </w:r>
      <w:r>
        <w:rPr>
          <w:rFonts w:ascii="Arial" w:hAnsi="Arial"/>
          <w:sz w:val="22"/>
          <w:szCs w:val="22"/>
          <w:lang w:val="fr-FR"/>
        </w:rPr>
        <w:t xml:space="preserve">que l’efficacité des programmes soit déterminée par </w:t>
      </w:r>
      <w:r>
        <w:rPr>
          <w:rFonts w:ascii="Arial" w:hAnsi="Arial"/>
          <w:sz w:val="22"/>
          <w:szCs w:val="22"/>
          <w:lang w:val="fr-FR"/>
        </w:rPr>
        <w:t xml:space="preserve">des approches </w:t>
      </w:r>
      <w:r>
        <w:rPr>
          <w:rFonts w:ascii="Arial" w:hAnsi="Arial"/>
          <w:sz w:val="22"/>
          <w:szCs w:val="22"/>
          <w:lang w:val="fr-FR"/>
        </w:rPr>
        <w:t xml:space="preserve">basées sur </w:t>
      </w:r>
      <w:r>
        <w:rPr>
          <w:rFonts w:ascii="Arial" w:hAnsi="Arial"/>
          <w:sz w:val="22"/>
          <w:szCs w:val="22"/>
          <w:lang w:val="fr-FR"/>
        </w:rPr>
        <w:t>des</w:t>
      </w:r>
      <w:r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>évaluations</w:t>
      </w:r>
      <w:r>
        <w:rPr>
          <w:rFonts w:ascii="Arial" w:hAnsi="Arial"/>
          <w:sz w:val="22"/>
          <w:szCs w:val="22"/>
          <w:lang w:val="fr-FR"/>
        </w:rPr>
        <w:t xml:space="preserve"> pluridimensionnelle</w:t>
      </w:r>
      <w:r>
        <w:rPr>
          <w:rFonts w:ascii="Arial" w:hAnsi="Arial"/>
          <w:sz w:val="22"/>
          <w:szCs w:val="22"/>
          <w:lang w:val="fr-FR"/>
        </w:rPr>
        <w:t>s</w:t>
      </w:r>
      <w:r>
        <w:rPr>
          <w:rFonts w:ascii="Arial" w:hAnsi="Arial"/>
          <w:sz w:val="22"/>
          <w:szCs w:val="22"/>
          <w:lang w:val="fr-FR"/>
        </w:rPr>
        <w:t xml:space="preserve"> </w:t>
      </w:r>
      <w:r>
        <w:fldChar w:fldCharType="begin"/>
      </w:r>
      <w:r>
        <w:rPr>
          <w:rStyle w:val="LienInternet"/>
          <w:sz w:val="22"/>
          <w:szCs w:val="22"/>
          <w:rFonts w:ascii="Arial" w:hAnsi="Arial"/>
        </w:rPr>
        <w:instrText> HYPERLINK "https://www.jahonline.org/article/S1054-139X(21)00383-9/fulltext" \l "bib8"</w:instrText>
      </w:r>
      <w:r>
        <w:rPr>
          <w:rStyle w:val="LienInternet"/>
          <w:sz w:val="22"/>
          <w:szCs w:val="22"/>
          <w:rFonts w:ascii="Arial" w:hAnsi="Arial"/>
        </w:rPr>
        <w:fldChar w:fldCharType="separate"/>
      </w:r>
      <w:bookmarkStart w:id="5" w:name="back-bib8"/>
      <w:bookmarkEnd w:id="5"/>
      <w:r>
        <w:rPr>
          <w:rStyle w:val="LienInternet"/>
          <w:rFonts w:ascii="Arial" w:hAnsi="Arial"/>
          <w:sz w:val="22"/>
          <w:szCs w:val="22"/>
        </w:rPr>
        <w:t>[8]</w:t>
      </w:r>
      <w:r>
        <w:rPr>
          <w:rStyle w:val="LienInternet"/>
          <w:sz w:val="22"/>
          <w:szCs w:val="22"/>
          <w:rFonts w:ascii="Arial" w:hAnsi="Arial"/>
        </w:rPr>
        <w:fldChar w:fldCharType="end"/>
      </w:r>
      <w:r>
        <w:rPr>
          <w:rFonts w:ascii="Arial" w:hAnsi="Arial"/>
          <w:sz w:val="22"/>
          <w:szCs w:val="22"/>
          <w:lang w:val="fr-FR"/>
        </w:rPr>
        <w:t xml:space="preserve">. Il s’agit notamment de suivre l’évolution du pouvoir d’action </w:t>
      </w:r>
      <w:r>
        <w:rPr>
          <w:rFonts w:ascii="Arial" w:hAnsi="Arial"/>
          <w:sz w:val="22"/>
          <w:szCs w:val="22"/>
          <w:lang w:val="fr-FR"/>
        </w:rPr>
        <w:t>et décisionnel</w:t>
      </w:r>
      <w:r>
        <w:rPr>
          <w:rFonts w:ascii="Arial" w:hAnsi="Arial"/>
          <w:sz w:val="22"/>
          <w:szCs w:val="22"/>
          <w:lang w:val="fr-FR"/>
        </w:rPr>
        <w:t xml:space="preserve">, de la mobilité et des </w:t>
      </w:r>
      <w:r>
        <w:rPr>
          <w:rFonts w:ascii="Arial" w:hAnsi="Arial"/>
          <w:sz w:val="22"/>
          <w:szCs w:val="22"/>
          <w:lang w:val="fr-FR"/>
        </w:rPr>
        <w:t>opportunité</w:t>
      </w:r>
      <w:r>
        <w:rPr>
          <w:rFonts w:ascii="Arial" w:hAnsi="Arial"/>
          <w:sz w:val="22"/>
          <w:szCs w:val="22"/>
          <w:lang w:val="fr-FR"/>
        </w:rPr>
        <w:t xml:space="preserve">s de vie des filles, </w:t>
      </w:r>
      <w:r>
        <w:rPr>
          <w:rFonts w:ascii="Arial" w:hAnsi="Arial"/>
          <w:sz w:val="22"/>
          <w:szCs w:val="22"/>
          <w:lang w:val="fr-FR"/>
        </w:rPr>
        <w:t>mais aussi</w:t>
      </w:r>
      <w:r>
        <w:rPr>
          <w:rFonts w:ascii="Arial" w:hAnsi="Arial"/>
          <w:sz w:val="22"/>
          <w:szCs w:val="22"/>
          <w:lang w:val="fr-FR"/>
        </w:rPr>
        <w:t xml:space="preserve"> l’évolution des attitudes et des pratiques des parents, des responsables communautaires, des enseignant</w:t>
      </w:r>
      <w:r>
        <w:rPr>
          <w:rFonts w:ascii="Arial" w:hAnsi="Arial"/>
          <w:sz w:val="22"/>
          <w:szCs w:val="22"/>
          <w:lang w:val="fr-FR"/>
        </w:rPr>
        <w:t>·e·</w:t>
      </w:r>
      <w:r>
        <w:rPr>
          <w:rFonts w:ascii="Arial" w:hAnsi="Arial"/>
          <w:sz w:val="22"/>
          <w:szCs w:val="22"/>
          <w:lang w:val="fr-FR"/>
        </w:rPr>
        <w:t xml:space="preserve">s, des prestataires de services et des autres personnes </w:t>
      </w:r>
      <w:r>
        <w:rPr>
          <w:rFonts w:ascii="Arial" w:hAnsi="Arial"/>
          <w:sz w:val="22"/>
          <w:szCs w:val="22"/>
          <w:lang w:val="fr-FR"/>
        </w:rPr>
        <w:t>influençant</w:t>
      </w:r>
      <w:r>
        <w:rPr>
          <w:rFonts w:ascii="Arial" w:hAnsi="Arial"/>
          <w:sz w:val="22"/>
          <w:szCs w:val="22"/>
          <w:lang w:val="fr-FR"/>
        </w:rPr>
        <w:t xml:space="preserve"> leur vie. Dans la mesure où les résultats des interventions qui adoptent cette approche peuvent </w:t>
      </w:r>
      <w:r>
        <w:rPr>
          <w:rFonts w:ascii="Arial" w:hAnsi="Arial"/>
          <w:sz w:val="22"/>
          <w:szCs w:val="22"/>
          <w:lang w:val="fr-FR"/>
        </w:rPr>
        <w:t>apparaître plus tardivement</w:t>
      </w:r>
      <w:r>
        <w:rPr>
          <w:rFonts w:ascii="Arial" w:hAnsi="Arial"/>
          <w:sz w:val="22"/>
          <w:szCs w:val="22"/>
          <w:lang w:val="fr-FR"/>
        </w:rPr>
        <w:t xml:space="preserve">, les </w:t>
      </w:r>
      <w:r>
        <w:rPr>
          <w:rFonts w:ascii="Arial" w:hAnsi="Arial"/>
          <w:sz w:val="22"/>
          <w:szCs w:val="22"/>
          <w:lang w:val="fr-FR"/>
        </w:rPr>
        <w:t>indicateurs</w:t>
      </w:r>
      <w:r>
        <w:rPr>
          <w:rFonts w:ascii="Arial" w:hAnsi="Arial"/>
          <w:sz w:val="22"/>
          <w:szCs w:val="22"/>
          <w:lang w:val="fr-FR"/>
        </w:rPr>
        <w:t xml:space="preserve"> reflétant les changements progressifs sont importants pour rendre compte de l’</w:t>
      </w:r>
      <w:r>
        <w:rPr>
          <w:rFonts w:ascii="Arial" w:hAnsi="Arial"/>
          <w:sz w:val="22"/>
          <w:szCs w:val="22"/>
          <w:lang w:val="fr-FR"/>
        </w:rPr>
        <w:t>efficacité des programmes.</w:t>
      </w:r>
    </w:p>
    <w:p>
      <w:pPr>
        <w:pStyle w:val="Corpsdetexte"/>
        <w:bidi w:val="0"/>
        <w:spacing w:before="0" w:after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Corpsdetexte"/>
        <w:bidi w:val="0"/>
        <w:spacing w:before="0" w:after="0"/>
        <w:jc w:val="start"/>
        <w:rPr/>
      </w:pPr>
      <w:r>
        <w:rPr>
          <w:rFonts w:ascii="Arial" w:hAnsi="Arial"/>
          <w:sz w:val="22"/>
          <w:szCs w:val="22"/>
          <w:lang w:val="fr-FR"/>
        </w:rPr>
        <w:t>La réussite d</w:t>
      </w:r>
      <w:r>
        <w:rPr>
          <w:rFonts w:ascii="Arial" w:hAnsi="Arial"/>
          <w:sz w:val="22"/>
          <w:szCs w:val="22"/>
          <w:lang w:val="fr-FR"/>
        </w:rPr>
        <w:t>es approches transformat</w:t>
      </w:r>
      <w:r>
        <w:rPr>
          <w:rFonts w:ascii="Arial" w:hAnsi="Arial"/>
          <w:sz w:val="22"/>
          <w:szCs w:val="22"/>
          <w:lang w:val="fr-FR"/>
        </w:rPr>
        <w:t>rices d</w:t>
      </w:r>
      <w:r>
        <w:rPr>
          <w:rFonts w:ascii="Arial" w:hAnsi="Arial"/>
          <w:sz w:val="22"/>
          <w:szCs w:val="22"/>
          <w:lang w:val="fr-FR"/>
        </w:rPr>
        <w:t>u</w:t>
      </w:r>
      <w:r>
        <w:rPr>
          <w:rFonts w:ascii="Arial" w:hAnsi="Arial"/>
          <w:sz w:val="22"/>
          <w:szCs w:val="22"/>
          <w:lang w:val="fr-FR"/>
        </w:rPr>
        <w:t xml:space="preserve"> genre nécessite d’investir dans la recherche, en particulier dans les études longitudinales, afin de déterminer la mesure dans laquelle </w:t>
      </w:r>
      <w:r>
        <w:rPr>
          <w:rFonts w:ascii="Arial" w:hAnsi="Arial"/>
          <w:sz w:val="22"/>
          <w:szCs w:val="22"/>
          <w:lang w:val="fr-FR"/>
        </w:rPr>
        <w:t>ces approches</w:t>
      </w:r>
      <w:r>
        <w:rPr>
          <w:rFonts w:ascii="Arial" w:hAnsi="Arial"/>
          <w:sz w:val="22"/>
          <w:szCs w:val="22"/>
          <w:lang w:val="fr-FR"/>
        </w:rPr>
        <w:t xml:space="preserve"> favorisent </w:t>
      </w:r>
      <w:r>
        <w:rPr>
          <w:rFonts w:ascii="Arial" w:hAnsi="Arial"/>
          <w:sz w:val="22"/>
          <w:szCs w:val="22"/>
          <w:lang w:val="fr-FR"/>
        </w:rPr>
        <w:t>une</w:t>
      </w:r>
      <w:r>
        <w:rPr>
          <w:rFonts w:ascii="Arial" w:hAnsi="Arial"/>
          <w:sz w:val="22"/>
          <w:szCs w:val="22"/>
          <w:lang w:val="fr-FR"/>
        </w:rPr>
        <w:t xml:space="preserve"> transformation durable des structures de pouvoir inégales et des normes de genre qui affaiblissent systématiquement la voix et le pouvoir des femmes et des filles. Cette approche pluridimensionnelle </w:t>
      </w:r>
      <w:r>
        <w:rPr>
          <w:rFonts w:ascii="Arial" w:hAnsi="Arial"/>
          <w:sz w:val="22"/>
          <w:szCs w:val="22"/>
          <w:lang w:val="fr-FR"/>
        </w:rPr>
        <w:t>présente plus de nuances</w:t>
      </w:r>
      <w:r>
        <w:rPr>
          <w:rFonts w:ascii="Arial" w:hAnsi="Arial"/>
          <w:sz w:val="22"/>
          <w:szCs w:val="22"/>
          <w:lang w:val="fr-FR"/>
        </w:rPr>
        <w:t xml:space="preserve"> qu</w:t>
      </w:r>
      <w:r>
        <w:rPr>
          <w:rFonts w:ascii="Arial" w:hAnsi="Arial"/>
          <w:sz w:val="22"/>
          <w:szCs w:val="22"/>
          <w:lang w:val="fr-FR"/>
        </w:rPr>
        <w:t>e l’</w:t>
      </w:r>
      <w:r>
        <w:rPr>
          <w:rFonts w:ascii="Arial" w:hAnsi="Arial"/>
          <w:sz w:val="22"/>
          <w:szCs w:val="22"/>
          <w:lang w:val="fr-FR"/>
        </w:rPr>
        <w:t xml:space="preserve">indicateur unique de l’âge </w:t>
      </w:r>
      <w:r>
        <w:rPr>
          <w:rFonts w:ascii="Arial" w:hAnsi="Arial"/>
          <w:sz w:val="22"/>
          <w:szCs w:val="22"/>
          <w:lang w:val="fr-FR"/>
        </w:rPr>
        <w:t>au moment</w:t>
      </w:r>
      <w:r>
        <w:rPr>
          <w:rFonts w:ascii="Arial" w:hAnsi="Arial"/>
          <w:sz w:val="22"/>
          <w:szCs w:val="22"/>
          <w:lang w:val="fr-FR"/>
        </w:rPr>
        <w:t xml:space="preserve"> du mariage, et elle est essentielle pour comprendre plus finement les processus nécessaires à la promotion de l’autonomisation des filles et des femmes et à la réalisation de l’égalité des genres. Des initiatives récentes, comme The Social Norms Atlas </w:t>
      </w:r>
      <w:r>
        <w:fldChar w:fldCharType="begin"/>
      </w:r>
      <w:r>
        <w:rPr>
          <w:rStyle w:val="LienInternet"/>
          <w:sz w:val="22"/>
          <w:szCs w:val="22"/>
          <w:rFonts w:ascii="Arial" w:hAnsi="Arial"/>
        </w:rPr>
        <w:instrText> HYPERLINK "https://www.jahonline.org/article/S1054-139X(21)00383-9/fulltext" \l "bib9"</w:instrText>
      </w:r>
      <w:r>
        <w:rPr>
          <w:rStyle w:val="LienInternet"/>
          <w:sz w:val="22"/>
          <w:szCs w:val="22"/>
          <w:rFonts w:ascii="Arial" w:hAnsi="Arial"/>
        </w:rPr>
        <w:fldChar w:fldCharType="separate"/>
      </w:r>
      <w:bookmarkStart w:id="6" w:name="back-bib9"/>
      <w:bookmarkEnd w:id="6"/>
      <w:r>
        <w:rPr>
          <w:rStyle w:val="LienInternet"/>
          <w:rFonts w:ascii="Arial" w:hAnsi="Arial"/>
          <w:sz w:val="22"/>
          <w:szCs w:val="22"/>
        </w:rPr>
        <w:t>[9]</w:t>
      </w:r>
      <w:r>
        <w:rPr>
          <w:rStyle w:val="LienInternet"/>
          <w:sz w:val="22"/>
          <w:szCs w:val="22"/>
          <w:rFonts w:ascii="Arial" w:hAnsi="Arial"/>
        </w:rPr>
        <w:fldChar w:fldCharType="end"/>
      </w:r>
      <w:r>
        <w:rPr>
          <w:rFonts w:ascii="Arial" w:hAnsi="Arial"/>
          <w:sz w:val="22"/>
          <w:szCs w:val="22"/>
          <w:lang w:val="fr-FR"/>
        </w:rPr>
        <w:t>, ont permis des progrès considérables en matière d’</w:t>
      </w:r>
      <w:r>
        <w:rPr>
          <w:rFonts w:ascii="Arial" w:hAnsi="Arial"/>
          <w:sz w:val="22"/>
          <w:szCs w:val="22"/>
          <w:lang w:val="fr-FR"/>
        </w:rPr>
        <w:t>évaluation</w:t>
      </w:r>
      <w:r>
        <w:rPr>
          <w:rFonts w:ascii="Arial" w:hAnsi="Arial"/>
          <w:sz w:val="22"/>
          <w:szCs w:val="22"/>
          <w:lang w:val="fr-FR"/>
        </w:rPr>
        <w:t xml:space="preserve"> des changements dans les normes sociales qui entretiennent les pratiques néfastes telles que le</w:t>
      </w:r>
      <w:r>
        <w:rPr>
          <w:rFonts w:ascii="Arial" w:hAnsi="Arial"/>
          <w:sz w:val="22"/>
          <w:szCs w:val="22"/>
          <w:lang w:val="fr-FR"/>
        </w:rPr>
        <w:t>s CEFMU</w:t>
      </w:r>
      <w:r>
        <w:rPr>
          <w:rFonts w:ascii="Arial" w:hAnsi="Arial"/>
          <w:sz w:val="22"/>
          <w:szCs w:val="22"/>
          <w:lang w:val="fr-FR"/>
        </w:rPr>
        <w:t xml:space="preserve">, et elles offrent la possibilité d’intégrer des indicateurs et mesures de réussite plus solides. Les organisations locales de défense des droits des femmes et des jeunes </w:t>
      </w:r>
      <w:r>
        <w:rPr>
          <w:rFonts w:ascii="Arial" w:hAnsi="Arial"/>
          <w:sz w:val="22"/>
          <w:szCs w:val="22"/>
          <w:lang w:val="fr-FR"/>
        </w:rPr>
        <w:t>personnes</w:t>
      </w:r>
      <w:r>
        <w:rPr>
          <w:rFonts w:ascii="Arial" w:hAnsi="Arial"/>
          <w:sz w:val="22"/>
          <w:szCs w:val="22"/>
          <w:lang w:val="fr-FR"/>
        </w:rPr>
        <w:t xml:space="preserve"> connaissent souvent les normes et les défis qui </w:t>
      </w:r>
      <w:r>
        <w:rPr>
          <w:rFonts w:ascii="Arial" w:hAnsi="Arial"/>
          <w:sz w:val="22"/>
          <w:szCs w:val="22"/>
          <w:lang w:val="fr-FR"/>
        </w:rPr>
        <w:t>caractérisent leur situation</w:t>
      </w:r>
      <w:r>
        <w:rPr>
          <w:rFonts w:ascii="Arial" w:hAnsi="Arial"/>
          <w:sz w:val="22"/>
          <w:szCs w:val="22"/>
          <w:lang w:val="fr-FR"/>
        </w:rPr>
        <w:t xml:space="preserve"> </w:t>
      </w:r>
      <w:r>
        <w:fldChar w:fldCharType="begin"/>
      </w:r>
      <w:r>
        <w:rPr>
          <w:rStyle w:val="LienInternet"/>
          <w:sz w:val="22"/>
          <w:szCs w:val="22"/>
          <w:rFonts w:ascii="Arial" w:hAnsi="Arial"/>
        </w:rPr>
        <w:instrText> HYPERLINK "https://www.jahonline.org/article/S1054-139X(21)00383-9/fulltext" \l "bib10"</w:instrText>
      </w:r>
      <w:r>
        <w:rPr>
          <w:rStyle w:val="LienInternet"/>
          <w:sz w:val="22"/>
          <w:szCs w:val="22"/>
          <w:rFonts w:ascii="Arial" w:hAnsi="Arial"/>
        </w:rPr>
        <w:fldChar w:fldCharType="separate"/>
      </w:r>
      <w:bookmarkStart w:id="7" w:name="back-bib10"/>
      <w:bookmarkEnd w:id="7"/>
      <w:r>
        <w:rPr>
          <w:rStyle w:val="LienInternet"/>
          <w:rFonts w:ascii="Arial" w:hAnsi="Arial"/>
          <w:sz w:val="22"/>
          <w:szCs w:val="22"/>
        </w:rPr>
        <w:t>[10]</w:t>
      </w:r>
      <w:r>
        <w:rPr>
          <w:rStyle w:val="LienInternet"/>
          <w:sz w:val="22"/>
          <w:szCs w:val="22"/>
          <w:rFonts w:ascii="Arial" w:hAnsi="Arial"/>
        </w:rPr>
        <w:fldChar w:fldCharType="end"/>
      </w:r>
      <w:r>
        <w:rPr>
          <w:rFonts w:ascii="Arial" w:hAnsi="Arial"/>
          <w:sz w:val="22"/>
          <w:szCs w:val="22"/>
          <w:lang w:val="fr-FR"/>
        </w:rPr>
        <w:t xml:space="preserve"> et sont peut-être les mieux placées pour mener des interventions transformat</w:t>
      </w:r>
      <w:r>
        <w:rPr>
          <w:rFonts w:ascii="Arial" w:hAnsi="Arial"/>
          <w:sz w:val="22"/>
          <w:szCs w:val="22"/>
          <w:lang w:val="fr-FR"/>
        </w:rPr>
        <w:t>rices</w:t>
      </w:r>
      <w:r>
        <w:rPr>
          <w:rFonts w:ascii="Arial" w:hAnsi="Arial"/>
          <w:sz w:val="22"/>
          <w:szCs w:val="22"/>
          <w:lang w:val="fr-FR"/>
        </w:rPr>
        <w:t xml:space="preserve"> d</w:t>
      </w:r>
      <w:r>
        <w:rPr>
          <w:rFonts w:ascii="Arial" w:hAnsi="Arial"/>
          <w:sz w:val="22"/>
          <w:szCs w:val="22"/>
          <w:lang w:val="fr-FR"/>
        </w:rPr>
        <w:t>u</w:t>
      </w:r>
      <w:r>
        <w:rPr>
          <w:rFonts w:ascii="Arial" w:hAnsi="Arial"/>
          <w:sz w:val="22"/>
          <w:szCs w:val="22"/>
          <w:lang w:val="fr-FR"/>
        </w:rPr>
        <w:t xml:space="preserve"> genre, mais elles manquent souvent de ressources pour évaluer leur travail </w:t>
      </w:r>
      <w:r>
        <w:fldChar w:fldCharType="begin"/>
      </w:r>
      <w:r>
        <w:rPr>
          <w:rStyle w:val="LienInternet"/>
          <w:sz w:val="22"/>
          <w:szCs w:val="22"/>
          <w:rFonts w:ascii="Arial" w:hAnsi="Arial"/>
        </w:rPr>
        <w:instrText> HYPERLINK "https://www.jahonline.org/article/S1054-139X(21)00383-9/fulltext" \l "bib11"</w:instrText>
      </w:r>
      <w:r>
        <w:rPr>
          <w:rStyle w:val="LienInternet"/>
          <w:sz w:val="22"/>
          <w:szCs w:val="22"/>
          <w:rFonts w:ascii="Arial" w:hAnsi="Arial"/>
        </w:rPr>
        <w:fldChar w:fldCharType="separate"/>
      </w:r>
      <w:bookmarkStart w:id="8" w:name="back-bib11"/>
      <w:bookmarkEnd w:id="8"/>
      <w:r>
        <w:rPr>
          <w:rStyle w:val="LienInternet"/>
          <w:rFonts w:ascii="Arial" w:hAnsi="Arial"/>
          <w:sz w:val="22"/>
          <w:szCs w:val="22"/>
        </w:rPr>
        <w:t>[11]</w:t>
      </w:r>
      <w:r>
        <w:rPr>
          <w:rStyle w:val="LienInternet"/>
          <w:sz w:val="22"/>
          <w:szCs w:val="22"/>
          <w:rFonts w:ascii="Arial" w:hAnsi="Arial"/>
        </w:rPr>
        <w:fldChar w:fldCharType="end"/>
      </w:r>
      <w:r>
        <w:rPr>
          <w:rFonts w:ascii="Arial" w:hAnsi="Arial"/>
          <w:sz w:val="22"/>
          <w:szCs w:val="22"/>
          <w:lang w:val="fr-FR"/>
        </w:rPr>
        <w:t xml:space="preserve">. Ces groupes devraient avoir leur mot à dire dans l’identification et l’opérationnalisation des indicateurs de succès </w:t>
      </w:r>
      <w:r>
        <w:rPr>
          <w:rFonts w:ascii="Arial" w:hAnsi="Arial"/>
          <w:sz w:val="22"/>
          <w:szCs w:val="22"/>
          <w:lang w:val="fr-FR"/>
        </w:rPr>
        <w:t>qu’il conviendra de suivre</w:t>
      </w:r>
      <w:r>
        <w:rPr>
          <w:rFonts w:ascii="Arial" w:hAnsi="Arial"/>
          <w:sz w:val="22"/>
          <w:szCs w:val="22"/>
          <w:lang w:val="fr-FR"/>
        </w:rPr>
        <w:t xml:space="preserve"> dans les recherches </w:t>
      </w:r>
      <w:r>
        <w:rPr>
          <w:rFonts w:ascii="Arial" w:hAnsi="Arial"/>
          <w:sz w:val="22"/>
          <w:szCs w:val="22"/>
          <w:lang w:val="fr-FR"/>
        </w:rPr>
        <w:t>à venir</w:t>
      </w:r>
      <w:r>
        <w:rPr>
          <w:rFonts w:ascii="Arial" w:hAnsi="Arial"/>
          <w:sz w:val="22"/>
          <w:szCs w:val="22"/>
          <w:lang w:val="fr-FR"/>
        </w:rPr>
        <w:t>.</w:t>
      </w:r>
    </w:p>
    <w:p>
      <w:pPr>
        <w:pStyle w:val="Corpsdetexte"/>
        <w:bidi w:val="0"/>
        <w:spacing w:before="0" w:after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Corpsdetexte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t xml:space="preserve">Les </w:t>
      </w:r>
      <w:r>
        <w:rPr>
          <w:rFonts w:ascii="Arial" w:hAnsi="Arial"/>
          <w:sz w:val="22"/>
          <w:szCs w:val="22"/>
          <w:lang w:val="fr-FR"/>
        </w:rPr>
        <w:t>indicateurs permettant de suivre</w:t>
      </w:r>
      <w:r>
        <w:rPr>
          <w:rFonts w:ascii="Arial" w:hAnsi="Arial"/>
          <w:sz w:val="22"/>
          <w:szCs w:val="22"/>
          <w:lang w:val="fr-FR"/>
        </w:rPr>
        <w:t xml:space="preserve"> l’incidence </w:t>
      </w:r>
      <w:r>
        <w:rPr>
          <w:rFonts w:ascii="Arial" w:hAnsi="Arial"/>
          <w:sz w:val="22"/>
          <w:szCs w:val="22"/>
          <w:lang w:val="fr-FR"/>
        </w:rPr>
        <w:t xml:space="preserve">des mariages d’enfants </w:t>
      </w:r>
      <w:r>
        <w:rPr>
          <w:rFonts w:ascii="Arial" w:hAnsi="Arial"/>
          <w:sz w:val="22"/>
          <w:szCs w:val="22"/>
          <w:lang w:val="fr-FR"/>
        </w:rPr>
        <w:t xml:space="preserve">et les tendances </w:t>
      </w:r>
      <w:r>
        <w:rPr>
          <w:rFonts w:ascii="Arial" w:hAnsi="Arial"/>
          <w:sz w:val="22"/>
          <w:szCs w:val="22"/>
          <w:lang w:val="fr-FR"/>
        </w:rPr>
        <w:t>autour de cette pratique</w:t>
      </w:r>
      <w:r>
        <w:rPr>
          <w:rFonts w:ascii="Arial" w:hAnsi="Arial"/>
          <w:sz w:val="22"/>
          <w:szCs w:val="22"/>
          <w:lang w:val="fr-FR"/>
        </w:rPr>
        <w:t xml:space="preserve"> au niveau </w:t>
      </w:r>
      <w:r>
        <w:rPr>
          <w:rFonts w:ascii="Arial" w:hAnsi="Arial"/>
          <w:sz w:val="22"/>
          <w:szCs w:val="22"/>
          <w:lang w:val="fr-FR"/>
        </w:rPr>
        <w:t>internation</w:t>
      </w:r>
      <w:r>
        <w:rPr>
          <w:rFonts w:ascii="Arial" w:hAnsi="Arial"/>
          <w:sz w:val="22"/>
          <w:szCs w:val="22"/>
          <w:lang w:val="fr-FR"/>
        </w:rPr>
        <w:t xml:space="preserve">al sont des repères utiles pour savoir où nous nous situons dans </w:t>
      </w:r>
      <w:r>
        <w:rPr>
          <w:rFonts w:ascii="Arial" w:hAnsi="Arial"/>
          <w:sz w:val="22"/>
          <w:szCs w:val="22"/>
          <w:lang w:val="fr-FR"/>
        </w:rPr>
        <w:t>l’</w:t>
      </w:r>
      <w:r>
        <w:rPr>
          <w:rFonts w:ascii="Arial" w:hAnsi="Arial"/>
          <w:sz w:val="22"/>
          <w:szCs w:val="22"/>
          <w:lang w:val="fr-FR"/>
        </w:rPr>
        <w:t>ensemble. Mais alors qu</w:t>
      </w:r>
      <w:r>
        <w:rPr>
          <w:rFonts w:ascii="Arial" w:hAnsi="Arial"/>
          <w:sz w:val="22"/>
          <w:szCs w:val="22"/>
          <w:lang w:val="fr-FR"/>
        </w:rPr>
        <w:t>e des chercheur·euses, des évaluateur·ices et bien d’autres œuvrent pour promouvoir des intervent</w:t>
      </w:r>
      <w:r>
        <w:rPr>
          <w:rFonts w:ascii="Arial" w:hAnsi="Arial"/>
          <w:sz w:val="22"/>
          <w:szCs w:val="22"/>
          <w:lang w:val="fr-FR"/>
        </w:rPr>
        <w:t xml:space="preserve">ions efficaces pour faire progresser les droits des filles, nous ne devons pas céder à la tentation de comprimer des réalités complexes et pluridimensionnelles dans des indicateurs trop pratiques qui ne permettent pas, à eux seuls, de rendre compte d’un changement significatif et durable. Par ailleurs, si nous n’investissons que dans des interventions </w:t>
      </w:r>
      <w:r>
        <w:rPr>
          <w:rFonts w:ascii="Arial" w:hAnsi="Arial"/>
          <w:sz w:val="22"/>
          <w:szCs w:val="22"/>
          <w:lang w:val="fr-FR"/>
        </w:rPr>
        <w:t>visant à atteindre</w:t>
      </w:r>
      <w:r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 xml:space="preserve">un objectif </w:t>
      </w:r>
      <w:r>
        <w:rPr>
          <w:rFonts w:ascii="Arial" w:hAnsi="Arial"/>
          <w:sz w:val="22"/>
          <w:szCs w:val="22"/>
          <w:lang w:val="fr-FR"/>
        </w:rPr>
        <w:t>d’</w:t>
      </w:r>
      <w:r>
        <w:rPr>
          <w:rFonts w:ascii="Arial" w:hAnsi="Arial"/>
          <w:sz w:val="22"/>
          <w:szCs w:val="22"/>
          <w:lang w:val="fr-FR"/>
        </w:rPr>
        <w:t xml:space="preserve">âge </w:t>
      </w:r>
      <w:r>
        <w:rPr>
          <w:rFonts w:ascii="Arial" w:hAnsi="Arial"/>
          <w:sz w:val="22"/>
          <w:szCs w:val="22"/>
          <w:lang w:val="fr-FR"/>
        </w:rPr>
        <w:t xml:space="preserve">au moment </w:t>
      </w:r>
      <w:r>
        <w:rPr>
          <w:rFonts w:ascii="Arial" w:hAnsi="Arial"/>
          <w:sz w:val="22"/>
          <w:szCs w:val="22"/>
          <w:lang w:val="fr-FR"/>
        </w:rPr>
        <w:t xml:space="preserve">du mariage </w:t>
      </w:r>
      <w:r>
        <w:rPr>
          <w:rFonts w:ascii="Arial" w:hAnsi="Arial"/>
          <w:sz w:val="22"/>
          <w:szCs w:val="22"/>
          <w:lang w:val="fr-FR"/>
        </w:rPr>
        <w:t>sans considération d</w:t>
      </w:r>
      <w:r>
        <w:rPr>
          <w:rFonts w:ascii="Arial" w:hAnsi="Arial"/>
          <w:sz w:val="22"/>
          <w:szCs w:val="22"/>
          <w:lang w:val="fr-FR"/>
        </w:rPr>
        <w:t xml:space="preserve">u fait qu’elles </w:t>
      </w:r>
      <w:r>
        <w:rPr>
          <w:rFonts w:ascii="Arial" w:hAnsi="Arial"/>
          <w:sz w:val="22"/>
          <w:szCs w:val="22"/>
          <w:lang w:val="fr-FR"/>
        </w:rPr>
        <w:t>permettent ou non d’obtenir</w:t>
      </w:r>
      <w:r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>d</w:t>
      </w:r>
      <w:r>
        <w:rPr>
          <w:rFonts w:ascii="Arial" w:hAnsi="Arial"/>
          <w:sz w:val="22"/>
          <w:szCs w:val="22"/>
          <w:lang w:val="fr-FR"/>
        </w:rPr>
        <w:t xml:space="preserve">es résultats en </w:t>
      </w:r>
      <w:r>
        <w:rPr>
          <w:rFonts w:ascii="Arial" w:hAnsi="Arial"/>
          <w:sz w:val="22"/>
          <w:szCs w:val="22"/>
          <w:lang w:val="fr-FR"/>
        </w:rPr>
        <w:t>matière</w:t>
      </w:r>
      <w:r>
        <w:rPr>
          <w:rFonts w:ascii="Arial" w:hAnsi="Arial"/>
          <w:sz w:val="22"/>
          <w:szCs w:val="22"/>
          <w:lang w:val="fr-FR"/>
        </w:rPr>
        <w:t xml:space="preserve"> de transformation d</w:t>
      </w:r>
      <w:r>
        <w:rPr>
          <w:rFonts w:ascii="Arial" w:hAnsi="Arial"/>
          <w:sz w:val="22"/>
          <w:szCs w:val="22"/>
          <w:lang w:val="fr-FR"/>
        </w:rPr>
        <w:t>u</w:t>
      </w:r>
      <w:r>
        <w:rPr>
          <w:rFonts w:ascii="Arial" w:hAnsi="Arial"/>
          <w:sz w:val="22"/>
          <w:szCs w:val="22"/>
          <w:lang w:val="fr-FR"/>
        </w:rPr>
        <w:t xml:space="preserve"> genre, nous risquons de détourner des ressources au détriment de nombreux programmes qui réussissent à faire progresser les droits et l’égalité.</w:t>
      </w:r>
    </w:p>
    <w:p>
      <w:pPr>
        <w:pStyle w:val="Corpsdetexte"/>
        <w:bidi w:val="0"/>
        <w:spacing w:before="0" w:after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Corpsdetexte"/>
        <w:bidi w:val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En tant que communauté internationale, nous devons travailler ensemble </w:t>
      </w:r>
      <w:r>
        <w:rPr>
          <w:rFonts w:ascii="Arial" w:hAnsi="Arial"/>
          <w:sz w:val="22"/>
          <w:szCs w:val="22"/>
          <w:lang w:val="fr-FR"/>
        </w:rPr>
        <w:t>afin de</w:t>
      </w:r>
      <w:r>
        <w:rPr>
          <w:rFonts w:ascii="Arial" w:hAnsi="Arial"/>
          <w:sz w:val="22"/>
          <w:szCs w:val="22"/>
          <w:lang w:val="fr-FR"/>
        </w:rPr>
        <w:t xml:space="preserve"> mieux comprendre, </w:t>
      </w:r>
      <w:r>
        <w:rPr>
          <w:rFonts w:ascii="Arial" w:hAnsi="Arial"/>
          <w:sz w:val="22"/>
          <w:szCs w:val="22"/>
          <w:lang w:val="fr-FR"/>
        </w:rPr>
        <w:t>mesurer l’impact et fournir les ressources nécessaires aux interventions qui visent à prévenir</w:t>
      </w:r>
      <w:r>
        <w:rPr>
          <w:rFonts w:ascii="Arial" w:hAnsi="Arial"/>
          <w:sz w:val="22"/>
          <w:szCs w:val="22"/>
          <w:lang w:val="fr-FR"/>
        </w:rPr>
        <w:t xml:space="preserve"> le</w:t>
      </w:r>
      <w:r>
        <w:rPr>
          <w:rFonts w:ascii="Arial" w:hAnsi="Arial"/>
          <w:sz w:val="22"/>
          <w:szCs w:val="22"/>
          <w:lang w:val="fr-FR"/>
        </w:rPr>
        <w:t>s</w:t>
      </w:r>
      <w:r>
        <w:rPr>
          <w:rFonts w:ascii="Arial" w:hAnsi="Arial"/>
          <w:sz w:val="22"/>
          <w:szCs w:val="22"/>
          <w:lang w:val="fr-FR"/>
        </w:rPr>
        <w:t xml:space="preserve"> mariage</w:t>
      </w:r>
      <w:r>
        <w:rPr>
          <w:rFonts w:ascii="Arial" w:hAnsi="Arial"/>
          <w:sz w:val="22"/>
          <w:szCs w:val="22"/>
          <w:lang w:val="fr-FR"/>
        </w:rPr>
        <w:t>s</w:t>
      </w:r>
      <w:r>
        <w:rPr>
          <w:rFonts w:ascii="Arial" w:hAnsi="Arial"/>
          <w:sz w:val="22"/>
          <w:szCs w:val="22"/>
          <w:lang w:val="fr-FR"/>
        </w:rPr>
        <w:t xml:space="preserve"> d’enfants </w:t>
      </w:r>
      <w:r>
        <w:rPr>
          <w:rFonts w:ascii="Arial" w:hAnsi="Arial"/>
          <w:sz w:val="22"/>
          <w:szCs w:val="22"/>
          <w:lang w:val="fr-FR"/>
        </w:rPr>
        <w:t>en renforçant</w:t>
      </w:r>
      <w:r>
        <w:rPr>
          <w:rFonts w:ascii="Arial" w:hAnsi="Arial"/>
          <w:sz w:val="22"/>
          <w:szCs w:val="22"/>
          <w:lang w:val="fr-FR"/>
        </w:rPr>
        <w:t xml:space="preserve"> l’</w:t>
      </w:r>
      <w:r>
        <w:rPr>
          <w:rFonts w:ascii="Arial" w:hAnsi="Arial"/>
          <w:sz w:val="22"/>
          <w:szCs w:val="22"/>
          <w:lang w:val="fr-FR"/>
        </w:rPr>
        <w:t>autonomie et le</w:t>
      </w:r>
      <w:r>
        <w:rPr>
          <w:rFonts w:ascii="Arial" w:hAnsi="Arial"/>
          <w:sz w:val="22"/>
          <w:szCs w:val="22"/>
          <w:lang w:val="fr-FR"/>
        </w:rPr>
        <w:t xml:space="preserve"> pouvoir d’action </w:t>
      </w:r>
      <w:r>
        <w:rPr>
          <w:rFonts w:ascii="Arial" w:hAnsi="Arial"/>
          <w:sz w:val="22"/>
          <w:szCs w:val="22"/>
          <w:lang w:val="fr-FR"/>
        </w:rPr>
        <w:t>et décisionnel</w:t>
      </w:r>
      <w:r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>dans le but de permettre à</w:t>
      </w:r>
      <w:r>
        <w:rPr>
          <w:rFonts w:ascii="Arial" w:hAnsi="Arial"/>
          <w:sz w:val="22"/>
          <w:szCs w:val="22"/>
          <w:lang w:val="fr-FR"/>
        </w:rPr>
        <w:t xml:space="preserve"> toutes les filles et les femmes </w:t>
      </w:r>
      <w:r>
        <w:rPr>
          <w:rFonts w:ascii="Arial" w:hAnsi="Arial"/>
          <w:sz w:val="22"/>
          <w:szCs w:val="22"/>
          <w:lang w:val="fr-FR"/>
        </w:rPr>
        <w:t>d’</w:t>
      </w:r>
      <w:r>
        <w:rPr>
          <w:rFonts w:ascii="Arial" w:hAnsi="Arial"/>
          <w:sz w:val="22"/>
          <w:szCs w:val="22"/>
          <w:lang w:val="fr-FR"/>
        </w:rPr>
        <w:t>atteindre leur plein potentiel.</w:t>
      </w:r>
    </w:p>
    <w:p>
      <w:pPr>
        <w:pStyle w:val="Corpsdetexte"/>
        <w:bidi w:val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Corpsdetexte"/>
        <w:bidi w:val="0"/>
        <w:jc w:val="start"/>
        <w:rPr>
          <w:rFonts w:ascii="Arial" w:hAnsi="Arial"/>
          <w:b/>
          <w:b/>
          <w:bCs/>
          <w:sz w:val="28"/>
          <w:szCs w:val="28"/>
          <w:lang w:val="fr-FR"/>
        </w:rPr>
      </w:pPr>
      <w:r>
        <w:rPr>
          <w:rFonts w:ascii="Arial" w:hAnsi="Arial"/>
          <w:b/>
          <w:bCs/>
          <w:sz w:val="28"/>
          <w:szCs w:val="28"/>
          <w:lang w:val="fr-FR"/>
        </w:rPr>
        <w:t>Aut</w:t>
      </w:r>
      <w:r>
        <w:rPr>
          <w:rFonts w:ascii="Arial" w:hAnsi="Arial"/>
          <w:b/>
          <w:bCs/>
          <w:sz w:val="28"/>
          <w:szCs w:val="28"/>
          <w:lang w:val="fr-FR"/>
        </w:rPr>
        <w:t>eur·ices*</w:t>
      </w:r>
    </w:p>
    <w:p>
      <w:pPr>
        <w:pStyle w:val="Corpsdetexte"/>
        <w:bidi w:val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Ana Aguilera,</w:t>
      </w:r>
      <w:r>
        <w:rPr>
          <w:rFonts w:ascii="Arial" w:hAnsi="Arial"/>
          <w:sz w:val="22"/>
          <w:szCs w:val="22"/>
          <w:shd w:fill="auto" w:val="clear"/>
          <w:lang w:val="fr-FR"/>
        </w:rPr>
        <w:t xml:space="preserve"> M</w:t>
      </w:r>
      <w:r>
        <w:rPr>
          <w:rFonts w:ascii="Arial" w:hAnsi="Arial"/>
          <w:sz w:val="22"/>
          <w:szCs w:val="22"/>
          <w:shd w:fill="auto" w:val="clear"/>
          <w:lang w:val="fr-FR"/>
        </w:rPr>
        <w:t>aster en santé publique</w:t>
      </w:r>
      <w:r>
        <w:rPr>
          <w:rFonts w:ascii="Arial" w:hAnsi="Arial"/>
          <w:sz w:val="22"/>
          <w:szCs w:val="22"/>
          <w:shd w:fill="auto" w:val="clear"/>
          <w:lang w:val="fr-FR"/>
        </w:rPr>
        <w:t xml:space="preserve">, </w:t>
      </w:r>
      <w:r>
        <w:rPr>
          <w:rFonts w:ascii="Arial" w:hAnsi="Arial"/>
          <w:sz w:val="22"/>
          <w:szCs w:val="22"/>
          <w:lang w:val="fr-FR"/>
        </w:rPr>
        <w:t xml:space="preserve">Santé sexuelle et reproductive des adolescents et des jeunes, EngenderHealth, Washington, DC, </w:t>
      </w:r>
      <w:r>
        <w:rPr>
          <w:rFonts w:ascii="Arial" w:hAnsi="Arial"/>
          <w:sz w:val="22"/>
          <w:szCs w:val="22"/>
          <w:lang w:val="fr-FR"/>
        </w:rPr>
        <w:t>États-Unis</w:t>
      </w:r>
    </w:p>
    <w:p>
      <w:pPr>
        <w:pStyle w:val="Corpsdetexte"/>
        <w:bidi w:val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Sarah Green, M</w:t>
      </w:r>
      <w:r>
        <w:rPr>
          <w:rFonts w:ascii="Arial" w:hAnsi="Arial"/>
          <w:sz w:val="22"/>
          <w:szCs w:val="22"/>
          <w:lang w:val="fr-FR"/>
        </w:rPr>
        <w:t>aster en sciences</w:t>
      </w:r>
      <w:r>
        <w:rPr>
          <w:rFonts w:ascii="Arial" w:hAnsi="Arial"/>
          <w:sz w:val="22"/>
          <w:szCs w:val="22"/>
          <w:lang w:val="fr-FR"/>
        </w:rPr>
        <w:t>, Conseillère supérieure en matière de Santé et de Droits Sexu</w:t>
      </w:r>
      <w:r>
        <w:rPr>
          <w:rFonts w:ascii="Arial" w:hAnsi="Arial"/>
          <w:sz w:val="22"/>
          <w:szCs w:val="22"/>
          <w:lang w:val="fr-FR"/>
        </w:rPr>
        <w:t>els</w:t>
      </w:r>
      <w:r>
        <w:rPr>
          <w:rFonts w:ascii="Arial" w:hAnsi="Arial"/>
          <w:sz w:val="22"/>
          <w:szCs w:val="22"/>
          <w:lang w:val="fr-FR"/>
        </w:rPr>
        <w:t xml:space="preserve">, American Jewish World Service, New York City, New York, </w:t>
      </w:r>
      <w:r>
        <w:rPr>
          <w:rFonts w:ascii="Arial" w:hAnsi="Arial"/>
          <w:sz w:val="22"/>
          <w:szCs w:val="22"/>
          <w:lang w:val="fr-FR"/>
        </w:rPr>
        <w:t>États-Unis</w:t>
      </w:r>
    </w:p>
    <w:p>
      <w:pPr>
        <w:pStyle w:val="Corpsdetexte"/>
        <w:bidi w:val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Margaret E. Greene, </w:t>
      </w:r>
      <w:r>
        <w:rPr>
          <w:rFonts w:ascii="Arial" w:hAnsi="Arial"/>
          <w:sz w:val="22"/>
          <w:szCs w:val="22"/>
          <w:lang w:val="fr-FR"/>
        </w:rPr>
        <w:t>Doctorat</w:t>
      </w:r>
      <w:r>
        <w:rPr>
          <w:rFonts w:ascii="Arial" w:hAnsi="Arial"/>
          <w:sz w:val="22"/>
          <w:szCs w:val="22"/>
          <w:lang w:val="fr-FR"/>
        </w:rPr>
        <w:t xml:space="preserve">, GreeneWorks, Washington, DC, </w:t>
      </w:r>
      <w:r>
        <w:rPr>
          <w:rFonts w:ascii="Arial" w:hAnsi="Arial"/>
          <w:sz w:val="22"/>
          <w:szCs w:val="22"/>
          <w:lang w:val="fr-FR"/>
        </w:rPr>
        <w:t>États-Unis</w:t>
      </w:r>
    </w:p>
    <w:p>
      <w:pPr>
        <w:pStyle w:val="Corpsdetexte"/>
        <w:bidi w:val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Chimaraoke Izugbara, </w:t>
      </w:r>
      <w:r>
        <w:rPr>
          <w:rFonts w:ascii="Arial" w:hAnsi="Arial"/>
          <w:sz w:val="22"/>
          <w:szCs w:val="22"/>
          <w:lang w:val="fr-FR"/>
        </w:rPr>
        <w:t>Doctorat</w:t>
      </w:r>
      <w:r>
        <w:rPr>
          <w:rFonts w:ascii="Arial" w:hAnsi="Arial"/>
          <w:sz w:val="22"/>
          <w:szCs w:val="22"/>
          <w:lang w:val="fr-FR"/>
        </w:rPr>
        <w:t xml:space="preserve">, Santé </w:t>
      </w:r>
      <w:r>
        <w:rPr>
          <w:rFonts w:ascii="Arial" w:hAnsi="Arial"/>
          <w:sz w:val="22"/>
          <w:szCs w:val="22"/>
          <w:lang w:val="fr-FR"/>
        </w:rPr>
        <w:t>mondi</w:t>
      </w:r>
      <w:r>
        <w:rPr>
          <w:rFonts w:ascii="Arial" w:hAnsi="Arial"/>
          <w:sz w:val="22"/>
          <w:szCs w:val="22"/>
          <w:lang w:val="fr-FR"/>
        </w:rPr>
        <w:t xml:space="preserve">ale, jeunesse et développement, International Center for Research on Women, Washington, DC, </w:t>
      </w:r>
      <w:r>
        <w:rPr>
          <w:rFonts w:ascii="Arial" w:hAnsi="Arial"/>
          <w:sz w:val="22"/>
          <w:szCs w:val="22"/>
          <w:lang w:val="fr-FR"/>
        </w:rPr>
        <w:t>États-Unis</w:t>
      </w:r>
    </w:p>
    <w:p>
      <w:pPr>
        <w:pStyle w:val="Corpsdetexte"/>
        <w:bidi w:val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Erin Murphy-Graham, </w:t>
      </w:r>
      <w:r>
        <w:rPr>
          <w:rFonts w:ascii="Arial" w:hAnsi="Arial"/>
          <w:sz w:val="22"/>
          <w:szCs w:val="22"/>
          <w:lang w:val="fr-FR"/>
        </w:rPr>
        <w:t>Doctorat en éducation</w:t>
      </w:r>
      <w:r>
        <w:rPr>
          <w:rFonts w:ascii="Arial" w:hAnsi="Arial"/>
          <w:sz w:val="22"/>
          <w:szCs w:val="22"/>
          <w:lang w:val="fr-FR"/>
        </w:rPr>
        <w:t xml:space="preserve">, Université de Californie, </w:t>
      </w:r>
      <w:r>
        <w:rPr>
          <w:rFonts w:ascii="Arial" w:hAnsi="Arial"/>
          <w:sz w:val="22"/>
          <w:szCs w:val="22"/>
          <w:lang w:val="fr-FR"/>
        </w:rPr>
        <w:t>Berkeley,</w:t>
      </w:r>
      <w:r>
        <w:rPr>
          <w:rFonts w:ascii="Arial" w:hAnsi="Arial"/>
          <w:sz w:val="22"/>
          <w:szCs w:val="22"/>
          <w:lang w:val="fr-FR"/>
        </w:rPr>
        <w:t xml:space="preserve"> Californi</w:t>
      </w:r>
      <w:r>
        <w:rPr>
          <w:rFonts w:ascii="Arial" w:hAnsi="Arial"/>
          <w:sz w:val="22"/>
          <w:szCs w:val="22"/>
          <w:lang w:val="fr-FR"/>
        </w:rPr>
        <w:t>e</w:t>
      </w:r>
      <w:r>
        <w:rPr>
          <w:rFonts w:ascii="Arial" w:hAnsi="Arial"/>
          <w:sz w:val="22"/>
          <w:szCs w:val="22"/>
          <w:lang w:val="fr-FR"/>
        </w:rPr>
        <w:t xml:space="preserve">, </w:t>
      </w:r>
      <w:r>
        <w:rPr>
          <w:rFonts w:ascii="Arial" w:hAnsi="Arial"/>
          <w:sz w:val="22"/>
          <w:szCs w:val="22"/>
          <w:lang w:val="fr-FR"/>
        </w:rPr>
        <w:t>États-Unis</w:t>
      </w:r>
    </w:p>
    <w:p>
      <w:pPr>
        <w:pStyle w:val="Corpsdetexte"/>
        <w:bidi w:val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Corpsdetexte"/>
        <w:bidi w:val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* Tou</w:t>
      </w:r>
      <w:r>
        <w:rPr>
          <w:rFonts w:ascii="Arial" w:hAnsi="Arial"/>
          <w:sz w:val="22"/>
          <w:szCs w:val="22"/>
          <w:lang w:val="fr-FR"/>
        </w:rPr>
        <w:t>·te·</w:t>
      </w:r>
      <w:r>
        <w:rPr>
          <w:rFonts w:ascii="Arial" w:hAnsi="Arial"/>
          <w:sz w:val="22"/>
          <w:szCs w:val="22"/>
          <w:lang w:val="fr-FR"/>
        </w:rPr>
        <w:t>s les auteur</w:t>
      </w:r>
      <w:r>
        <w:rPr>
          <w:rFonts w:ascii="Arial" w:hAnsi="Arial"/>
          <w:sz w:val="22"/>
          <w:szCs w:val="22"/>
          <w:lang w:val="fr-FR"/>
        </w:rPr>
        <w:t>·ice</w:t>
      </w:r>
      <w:r>
        <w:rPr>
          <w:rFonts w:ascii="Arial" w:hAnsi="Arial"/>
          <w:sz w:val="22"/>
          <w:szCs w:val="22"/>
          <w:lang w:val="fr-FR"/>
        </w:rPr>
        <w:t>s sont membres du Groupe de travail sur les unions et les mariages d’enfants, précoces et forcés, et la sexualité.</w:t>
      </w:r>
    </w:p>
    <w:p>
      <w:pPr>
        <w:pStyle w:val="Titre2"/>
        <w:bidi w:val="0"/>
        <w:jc w:val="start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>R</w:t>
      </w:r>
      <w:r>
        <w:rPr>
          <w:rFonts w:ascii="Arial" w:hAnsi="Arial"/>
          <w:sz w:val="28"/>
          <w:szCs w:val="28"/>
          <w:lang w:val="fr-FR"/>
        </w:rPr>
        <w:t>é</w:t>
      </w:r>
      <w:r>
        <w:rPr>
          <w:rFonts w:ascii="Arial" w:hAnsi="Arial"/>
          <w:sz w:val="28"/>
          <w:szCs w:val="28"/>
          <w:lang w:val="fr-FR"/>
        </w:rPr>
        <w:t>f</w:t>
      </w:r>
      <w:r>
        <w:rPr>
          <w:rFonts w:ascii="Arial" w:hAnsi="Arial"/>
          <w:sz w:val="28"/>
          <w:szCs w:val="28"/>
          <w:lang w:val="fr-FR"/>
        </w:rPr>
        <w:t>é</w:t>
      </w:r>
      <w:r>
        <w:rPr>
          <w:rFonts w:ascii="Arial" w:hAnsi="Arial"/>
          <w:sz w:val="28"/>
          <w:szCs w:val="28"/>
          <w:lang w:val="fr-FR"/>
        </w:rPr>
        <w:t>rences</w:t>
      </w:r>
    </w:p>
    <w:p>
      <w:pPr>
        <w:pStyle w:val="Corpsdetexte"/>
        <w:bidi w:val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[1] Fonds des Nations unies pour l’enfance. COVID-19 : une menace pour les progrès enregistrés contre le mariage des enfants. New York : UNICEF ; 2021.</w:t>
      </w:r>
    </w:p>
    <w:p>
      <w:pPr>
        <w:pStyle w:val="Corpsdetexte"/>
        <w:bidi w:val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[2] Malhotra A, Elnakib S. 20 years of the evidence base on what works to prevent child marriage: A systematic review. J Adolesc Health 2021;68:847e62.</w:t>
      </w:r>
    </w:p>
    <w:p>
      <w:pPr>
        <w:pStyle w:val="Corpsdetexte"/>
        <w:bidi w:val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[3] Chandra-Mouli V, Plesons M. A groundbreaking systematic review, but that alone is not enough to change the course of programming on child marriage prevention. J Adolesc Health 2021;68:833e5.</w:t>
      </w:r>
    </w:p>
    <w:p>
      <w:pPr>
        <w:pStyle w:val="Corpsdetexte"/>
        <w:bidi w:val="0"/>
        <w:jc w:val="start"/>
        <w:rPr/>
      </w:pPr>
      <w:r>
        <w:rPr>
          <w:rFonts w:ascii="Arial" w:hAnsi="Arial"/>
          <w:sz w:val="22"/>
          <w:szCs w:val="22"/>
          <w:lang w:val="fr-FR"/>
        </w:rPr>
        <w:t xml:space="preserve">[4] </w:t>
      </w:r>
      <w:r>
        <w:rPr>
          <w:rFonts w:ascii="Arial" w:hAnsi="Arial"/>
          <w:sz w:val="22"/>
          <w:szCs w:val="22"/>
          <w:lang w:val="fr-FR"/>
        </w:rPr>
        <w:t>Filles, pas épouses</w:t>
      </w:r>
      <w:r>
        <w:rPr>
          <w:rFonts w:ascii="Arial" w:hAnsi="Arial"/>
          <w:sz w:val="22"/>
          <w:szCs w:val="22"/>
          <w:lang w:val="fr-FR"/>
        </w:rPr>
        <w:t xml:space="preserve">. </w:t>
      </w:r>
      <w:r>
        <w:rPr>
          <w:rFonts w:ascii="Arial" w:hAnsi="Arial"/>
          <w:sz w:val="22"/>
          <w:szCs w:val="22"/>
        </w:rPr>
        <w:t>La voie vers l’égalité des genres passe par la fin des mariages d’enfants, précoces et forcés</w:t>
      </w:r>
      <w:r>
        <w:rPr>
          <w:rFonts w:ascii="Arial" w:hAnsi="Arial"/>
          <w:sz w:val="22"/>
          <w:szCs w:val="22"/>
          <w:lang w:val="fr-FR"/>
        </w:rPr>
        <w:t xml:space="preserve">. 2021. </w:t>
      </w:r>
      <w:r>
        <w:rPr>
          <w:rFonts w:ascii="Arial" w:hAnsi="Arial"/>
          <w:sz w:val="22"/>
          <w:szCs w:val="22"/>
          <w:lang w:val="fr-FR"/>
        </w:rPr>
        <w:t xml:space="preserve">Disponible à l’adresse : </w:t>
      </w:r>
      <w:hyperlink r:id="rId3">
        <w:r>
          <w:rPr>
            <w:rStyle w:val="LienInternet"/>
            <w:rFonts w:ascii="Arial" w:hAnsi="Arial"/>
            <w:sz w:val="22"/>
            <w:szCs w:val="22"/>
          </w:rPr>
          <w:t>https://www.fillespasepouses.org/apprentissage-ressources/centre-de-ressources/la-voie-vers-legalite-des-genres-passe-par-la-fin-des-mariages-denfants/</w:t>
        </w:r>
      </w:hyperlink>
      <w:r>
        <w:rPr>
          <w:rFonts w:ascii="Arial" w:hAnsi="Arial"/>
          <w:sz w:val="22"/>
          <w:szCs w:val="22"/>
          <w:lang w:val="fr-FR"/>
        </w:rPr>
        <w:t>. Vu le 12 juillet 2021</w:t>
      </w:r>
      <w:r>
        <w:rPr>
          <w:rFonts w:ascii="Arial" w:hAnsi="Arial"/>
          <w:sz w:val="22"/>
          <w:szCs w:val="22"/>
          <w:lang w:val="fr-FR"/>
        </w:rPr>
        <w:t>.</w:t>
      </w:r>
    </w:p>
    <w:p>
      <w:pPr>
        <w:pStyle w:val="Corpsdetexte"/>
        <w:bidi w:val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[5] Greene ME, Perlson SM, Hart J, Mullinax M. The Centrality of sexuality for understanding child, early and forced marriage. Washington, DC </w:t>
      </w:r>
      <w:r>
        <w:rPr>
          <w:rFonts w:ascii="Arial" w:hAnsi="Arial"/>
          <w:sz w:val="22"/>
          <w:szCs w:val="22"/>
          <w:lang w:val="fr-FR"/>
        </w:rPr>
        <w:t>et</w:t>
      </w:r>
      <w:r>
        <w:rPr>
          <w:rFonts w:ascii="Arial" w:hAnsi="Arial"/>
          <w:sz w:val="22"/>
          <w:szCs w:val="22"/>
          <w:lang w:val="fr-FR"/>
        </w:rPr>
        <w:t xml:space="preserve"> New York: GreeneWorks and American Jewish World Service; 2018.</w:t>
      </w:r>
    </w:p>
    <w:p>
      <w:pPr>
        <w:pStyle w:val="Corpsdetexte"/>
        <w:bidi w:val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[6] Groupe de travail sur les unions et les mariages d’enfants, précoces et forcés, et la sexualité. LEVER LES TABOUS : La sexualité et les approches promouvant l’égalité des genres pour mettre fin aux unions et aux mariages d’enfants, précoces et forcés. 2019. </w:t>
      </w:r>
      <w:r>
        <w:rPr>
          <w:rFonts w:ascii="Arial" w:hAnsi="Arial"/>
          <w:sz w:val="22"/>
          <w:szCs w:val="22"/>
          <w:lang w:val="fr-FR"/>
        </w:rPr>
        <w:t>Disponible à l’adresse </w:t>
      </w:r>
      <w:r>
        <w:rPr>
          <w:rFonts w:ascii="Arial" w:hAnsi="Arial"/>
          <w:sz w:val="22"/>
          <w:szCs w:val="22"/>
          <w:lang w:val="fr-FR"/>
        </w:rPr>
        <w:t xml:space="preserve">: https://www.girlsnotbrides.org/documents/907/Tackling-the-Taboo-Full-report-FR.pdf. </w:t>
      </w:r>
      <w:r>
        <w:rPr>
          <w:rFonts w:ascii="Arial" w:hAnsi="Arial"/>
          <w:sz w:val="22"/>
          <w:szCs w:val="22"/>
          <w:lang w:val="fr-FR"/>
        </w:rPr>
        <w:t>Vu le 8 juillet</w:t>
      </w:r>
      <w:r>
        <w:rPr>
          <w:rFonts w:ascii="Arial" w:hAnsi="Arial"/>
          <w:sz w:val="22"/>
          <w:szCs w:val="22"/>
          <w:lang w:val="fr-FR"/>
        </w:rPr>
        <w:t xml:space="preserve"> 2021.</w:t>
      </w:r>
    </w:p>
    <w:p>
      <w:pPr>
        <w:pStyle w:val="Corpsdetexte"/>
        <w:bidi w:val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[7] Amin S, Asadullah N, Hossain S, Wahhaj Z. Can conditional transfers eradicate child marriage?, IZA policy Paper, No. 118. Bonn: Institute for the Study of Labor (IZA); 2016. Available at: https://www.econstor.eu/handle/10419/162529. </w:t>
      </w:r>
      <w:r>
        <w:rPr>
          <w:rFonts w:ascii="Arial" w:hAnsi="Arial"/>
          <w:sz w:val="22"/>
          <w:szCs w:val="22"/>
          <w:lang w:val="fr-FR"/>
        </w:rPr>
        <w:t>Vu le 12 juillet</w:t>
      </w:r>
      <w:r>
        <w:rPr>
          <w:rFonts w:ascii="Arial" w:hAnsi="Arial"/>
          <w:sz w:val="22"/>
          <w:szCs w:val="22"/>
          <w:lang w:val="fr-FR"/>
        </w:rPr>
        <w:t xml:space="preserve"> 2021.</w:t>
      </w:r>
    </w:p>
    <w:p>
      <w:pPr>
        <w:pStyle w:val="Corpsdetexte"/>
        <w:bidi w:val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[8] Hillenbrand E, Karim N, Mohanraj P, Wu D. Mesurer le changement transformateur de genre : une revue de la littérature et des pratiques prometteuses. CARE USA. 2015. </w:t>
      </w:r>
      <w:r>
        <w:rPr>
          <w:rFonts w:ascii="Arial" w:hAnsi="Arial"/>
          <w:sz w:val="22"/>
          <w:szCs w:val="22"/>
          <w:lang w:val="fr-FR"/>
        </w:rPr>
        <w:t>Disponible à l’adresse </w:t>
      </w:r>
      <w:r>
        <w:rPr>
          <w:rFonts w:ascii="Arial" w:hAnsi="Arial"/>
          <w:sz w:val="22"/>
          <w:szCs w:val="22"/>
          <w:lang w:val="fr-FR"/>
        </w:rPr>
        <w:t xml:space="preserve">: https://www.care.org/wp-content/uploads/2020/05/working_paper_aas_gt_change_measurement_fa_lowres.pdf. </w:t>
      </w:r>
      <w:r>
        <w:rPr>
          <w:rFonts w:ascii="Arial" w:hAnsi="Arial"/>
          <w:sz w:val="22"/>
          <w:szCs w:val="22"/>
          <w:lang w:val="fr-FR"/>
        </w:rPr>
        <w:t>Vu le 7 juillet</w:t>
      </w:r>
      <w:r>
        <w:rPr>
          <w:rFonts w:ascii="Arial" w:hAnsi="Arial"/>
          <w:sz w:val="22"/>
          <w:szCs w:val="22"/>
          <w:lang w:val="fr-FR"/>
        </w:rPr>
        <w:t xml:space="preserve"> 2021.</w:t>
      </w:r>
    </w:p>
    <w:p>
      <w:pPr>
        <w:pStyle w:val="Corpsdetexte"/>
        <w:bidi w:val="0"/>
        <w:jc w:val="start"/>
        <w:rPr>
          <w:lang w:val="en-US"/>
        </w:rPr>
      </w:pPr>
      <w:r>
        <w:rPr>
          <w:rFonts w:ascii="Arial" w:hAnsi="Arial"/>
          <w:sz w:val="22"/>
          <w:szCs w:val="22"/>
          <w:lang w:val="fr-FR"/>
        </w:rPr>
        <w:t xml:space="preserve">[9] The Social Norms Altas. </w:t>
      </w:r>
      <w:r>
        <w:rPr>
          <w:rFonts w:ascii="Arial" w:hAnsi="Arial"/>
          <w:sz w:val="22"/>
          <w:szCs w:val="22"/>
          <w:lang w:val="fr-FR"/>
        </w:rPr>
        <w:t>Disponible à l’adresse :</w:t>
      </w:r>
      <w:r>
        <w:rPr>
          <w:rFonts w:ascii="Arial" w:hAnsi="Arial"/>
          <w:sz w:val="22"/>
          <w:szCs w:val="22"/>
          <w:lang w:val="fr-FR"/>
        </w:rPr>
        <w:t xml:space="preserve"> </w:t>
      </w:r>
      <w:hyperlink r:id="rId4">
        <w:r>
          <w:rPr>
            <w:rStyle w:val="LienInternet"/>
            <w:rFonts w:ascii="Arial" w:hAnsi="Arial"/>
            <w:sz w:val="22"/>
            <w:szCs w:val="22"/>
            <w:lang w:val="en-US"/>
          </w:rPr>
          <w:t>https://www.alignplatform.org/events/introducing-social-norms-atlas-compass-social-norms-across-sectors</w:t>
        </w:r>
      </w:hyperlink>
      <w:r>
        <w:rPr>
          <w:rFonts w:ascii="Arial" w:hAnsi="Arial"/>
          <w:sz w:val="22"/>
          <w:szCs w:val="22"/>
          <w:lang w:val="fr-FR"/>
        </w:rPr>
        <w:t xml:space="preserve">. </w:t>
      </w:r>
      <w:r>
        <w:rPr>
          <w:rFonts w:ascii="Arial" w:hAnsi="Arial"/>
          <w:sz w:val="22"/>
          <w:szCs w:val="22"/>
          <w:lang w:val="fr-FR"/>
        </w:rPr>
        <w:t>Vu le 10 juillet 2021</w:t>
      </w:r>
      <w:r>
        <w:rPr>
          <w:rFonts w:ascii="Arial" w:hAnsi="Arial"/>
          <w:sz w:val="22"/>
          <w:szCs w:val="22"/>
          <w:lang w:val="fr-FR"/>
        </w:rPr>
        <w:t>.</w:t>
      </w:r>
    </w:p>
    <w:p>
      <w:pPr>
        <w:pStyle w:val="Corpsdetexte"/>
        <w:bidi w:val="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[10] Cislaghi B. Human rights and community-led Development: Lessons from Tostan (studies in global Justice and Human rights). </w:t>
      </w:r>
      <w:r>
        <w:rPr>
          <w:rFonts w:ascii="Arial" w:hAnsi="Arial"/>
          <w:sz w:val="22"/>
          <w:szCs w:val="22"/>
          <w:lang w:val="fr-FR"/>
        </w:rPr>
        <w:t>Royaume-Uni </w:t>
      </w:r>
      <w:r>
        <w:rPr>
          <w:rFonts w:ascii="Arial" w:hAnsi="Arial"/>
          <w:sz w:val="22"/>
          <w:szCs w:val="22"/>
          <w:lang w:val="fr-FR"/>
        </w:rPr>
        <w:t>: Edinburgh University Press; 2017.</w:t>
      </w:r>
    </w:p>
    <w:p>
      <w:pPr>
        <w:pStyle w:val="Corpsdetexte"/>
        <w:bidi w:val="0"/>
        <w:spacing w:before="0" w:after="140"/>
        <w:jc w:val="star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[11] Kelly CM, LaRose J, Scharff DP. A method for building evaluation competency among community-based organizations. Health Promot Pract 2014; 15:431e7.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Titre2">
    <w:name w:val="Heading 2"/>
    <w:basedOn w:val="Titre"/>
    <w:next w:val="Corpsdetexte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Accentuation">
    <w:name w:val="Accentuation"/>
    <w:qFormat/>
    <w:rPr>
      <w:i/>
      <w:i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umrotation">
    <w:name w:val="Caractères de numérotation"/>
    <w:qFormat/>
    <w:rPr/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i.org/10.1016/j.jadohealth.2021.07.026" TargetMode="External"/><Relationship Id="rId3" Type="http://schemas.openxmlformats.org/officeDocument/2006/relationships/hyperlink" Target="https://www.fillespasepouses.org/apprentissage-ressources/centre-de-ressources/la-voie-vers-legalite-des-genres-passe-par-la-fin-des-mariages-denfants/" TargetMode="External"/><Relationship Id="rId4" Type="http://schemas.openxmlformats.org/officeDocument/2006/relationships/hyperlink" Target="https://www.alignplatform.org/events/introducing-social-norms-atlas-compass-social-norms-across-sectors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494</TotalTime>
  <Application>LibreOffice/7.1.4.2$Windows_X86_64 LibreOffice_project/a529a4fab45b75fefc5b6226684193eb000654f6</Application>
  <AppVersion>15.0000</AppVersion>
  <Pages>4</Pages>
  <Words>1839</Words>
  <Characters>10801</Characters>
  <CharactersWithSpaces>12611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2021-12-21T18:52:20Z</dcterms:created>
  <dc:creator/>
  <dc:description/>
  <dc:language>fr-FR</dc:language>
  <cp:lastModifiedBy/>
  <dcterms:modified xsi:type="dcterms:W3CDTF">2021-12-24T16:17:27Z</dcterms:modified>
  <cp:revision>128</cp:revision>
  <dc:subject/>
  <dc:title/>
</cp:coreProperties>
</file>