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DBD0A" w14:textId="0B40766D" w:rsidR="0002132F" w:rsidRPr="00D04C75" w:rsidRDefault="77DD6377" w:rsidP="009A18AA">
      <w:pPr>
        <w:jc w:val="center"/>
        <w:rPr>
          <w:b/>
          <w:bCs/>
          <w:sz w:val="32"/>
          <w:szCs w:val="32"/>
          <w:lang w:val="en-GB"/>
        </w:rPr>
      </w:pPr>
      <w:bookmarkStart w:id="0" w:name="_GoBack"/>
      <w:bookmarkEnd w:id="0"/>
      <w:r w:rsidRPr="00D04C75">
        <w:rPr>
          <w:b/>
          <w:bCs/>
          <w:sz w:val="32"/>
          <w:szCs w:val="32"/>
          <w:lang w:val="en-GB"/>
        </w:rPr>
        <w:t>Anti-Racism</w:t>
      </w:r>
      <w:r w:rsidR="00E8540E" w:rsidRPr="00D04C75">
        <w:rPr>
          <w:b/>
          <w:bCs/>
          <w:sz w:val="32"/>
          <w:szCs w:val="32"/>
          <w:lang w:val="en-GB"/>
        </w:rPr>
        <w:t xml:space="preserve"> </w:t>
      </w:r>
      <w:r w:rsidR="00C32CD5" w:rsidRPr="00D04C75">
        <w:rPr>
          <w:b/>
          <w:bCs/>
          <w:sz w:val="32"/>
          <w:szCs w:val="32"/>
          <w:lang w:val="en-GB"/>
        </w:rPr>
        <w:t>P</w:t>
      </w:r>
      <w:r w:rsidR="00E8540E" w:rsidRPr="00D04C75">
        <w:rPr>
          <w:b/>
          <w:bCs/>
          <w:sz w:val="32"/>
          <w:szCs w:val="32"/>
          <w:lang w:val="en-GB"/>
        </w:rPr>
        <w:t>rogram of Action</w:t>
      </w:r>
    </w:p>
    <w:p w14:paraId="46B70D96" w14:textId="4C82773C" w:rsidR="0051506A" w:rsidRPr="00D04C75" w:rsidRDefault="00D04C75" w:rsidP="00D04C75">
      <w:pPr>
        <w:jc w:val="center"/>
        <w:rPr>
          <w:b/>
          <w:bCs/>
          <w:sz w:val="32"/>
          <w:szCs w:val="32"/>
          <w:lang w:val="en-GB"/>
        </w:rPr>
      </w:pPr>
      <w:r>
        <w:rPr>
          <w:b/>
          <w:bCs/>
          <w:sz w:val="32"/>
          <w:szCs w:val="32"/>
          <w:lang w:val="en-GB"/>
        </w:rPr>
        <w:t>Management Response to</w:t>
      </w:r>
      <w:r w:rsidR="009A18AA" w:rsidRPr="00D04C75">
        <w:rPr>
          <w:b/>
          <w:bCs/>
          <w:sz w:val="32"/>
          <w:szCs w:val="32"/>
          <w:lang w:val="en-GB"/>
        </w:rPr>
        <w:t xml:space="preserve"> the </w:t>
      </w:r>
      <w:r>
        <w:rPr>
          <w:b/>
          <w:bCs/>
          <w:sz w:val="32"/>
          <w:szCs w:val="32"/>
          <w:lang w:val="en-GB"/>
        </w:rPr>
        <w:t>Re</w:t>
      </w:r>
      <w:r w:rsidR="00C72493" w:rsidRPr="00D04C75">
        <w:rPr>
          <w:b/>
          <w:bCs/>
          <w:sz w:val="32"/>
          <w:szCs w:val="32"/>
          <w:lang w:val="en-GB"/>
        </w:rPr>
        <w:t>port</w:t>
      </w:r>
    </w:p>
    <w:p w14:paraId="6E848ACB" w14:textId="1587EDD1" w:rsidR="00E8540E" w:rsidRPr="00D04C75" w:rsidRDefault="00B45A81">
      <w:pPr>
        <w:rPr>
          <w:b/>
          <w:bCs/>
          <w:sz w:val="28"/>
          <w:szCs w:val="28"/>
          <w:lang w:val="en-GB"/>
        </w:rPr>
      </w:pPr>
      <w:r w:rsidRPr="00D04C75">
        <w:rPr>
          <w:b/>
          <w:bCs/>
          <w:sz w:val="28"/>
          <w:szCs w:val="28"/>
          <w:lang w:val="en-GB"/>
        </w:rPr>
        <w:t>B</w:t>
      </w:r>
      <w:r w:rsidR="00D26EBE" w:rsidRPr="00D04C75">
        <w:rPr>
          <w:b/>
          <w:bCs/>
          <w:sz w:val="28"/>
          <w:szCs w:val="28"/>
          <w:lang w:val="en-GB"/>
        </w:rPr>
        <w:t>ackground</w:t>
      </w:r>
      <w:r w:rsidRPr="00D04C75">
        <w:rPr>
          <w:b/>
          <w:bCs/>
          <w:sz w:val="28"/>
          <w:szCs w:val="28"/>
          <w:lang w:val="en-GB"/>
        </w:rPr>
        <w:t xml:space="preserve"> </w:t>
      </w:r>
    </w:p>
    <w:p w14:paraId="2FD67383" w14:textId="7417CE4C" w:rsidR="00B45A81" w:rsidRPr="00D04C75" w:rsidRDefault="00B45A81" w:rsidP="00B45A81">
      <w:r w:rsidRPr="00D04C75">
        <w:t xml:space="preserve">The murder of George Floyd sparked despair and outrage, accelerated the Black Lives Matter movement and reignited existing questions on the role that systemic and institutional racism has on the people who work in, and benefit from international development, with no organization immune. </w:t>
      </w:r>
    </w:p>
    <w:p w14:paraId="50523DEF" w14:textId="2C3F9E53" w:rsidR="00B45A81" w:rsidRPr="00D04C75" w:rsidRDefault="00B45A81" w:rsidP="00B45A81">
      <w:r w:rsidRPr="00D04C75">
        <w:t xml:space="preserve">A group of committed and courageous activists within IPPF, many of whom were part of the Gender </w:t>
      </w:r>
      <w:r w:rsidR="00331775" w:rsidRPr="00D04C75">
        <w:t>Steering</w:t>
      </w:r>
      <w:r w:rsidRPr="00D04C75">
        <w:t xml:space="preserve"> Group ignited an internal movement</w:t>
      </w:r>
      <w:r w:rsidR="00C32CD5" w:rsidRPr="00D04C75">
        <w:t xml:space="preserve">, reaching out to their colleagues, including </w:t>
      </w:r>
      <w:r w:rsidR="00D04C75">
        <w:t>the Directors Leadership Team (DLT)</w:t>
      </w:r>
      <w:r w:rsidR="00C32CD5" w:rsidRPr="00D04C75">
        <w:t xml:space="preserve"> with a commitment to sparking a conversation and delivering on institutional change. </w:t>
      </w:r>
    </w:p>
    <w:p w14:paraId="6A70C42A" w14:textId="305D2C43" w:rsidR="00B45A81" w:rsidRPr="00D04C75" w:rsidRDefault="00B45A81" w:rsidP="00B45A81">
      <w:r w:rsidRPr="00D04C75">
        <w:rPr>
          <w:lang w:val="en-GB"/>
        </w:rPr>
        <w:t>At the November 2020 B</w:t>
      </w:r>
      <w:r w:rsidR="00D04C75">
        <w:rPr>
          <w:lang w:val="en-GB"/>
        </w:rPr>
        <w:t xml:space="preserve">oard of Trustees (BoT) </w:t>
      </w:r>
      <w:r w:rsidRPr="00D04C75">
        <w:rPr>
          <w:lang w:val="en-GB"/>
        </w:rPr>
        <w:t xml:space="preserve">meeting, IPPF took a decision to proactively engage in an Anti-Racism Program of Action. </w:t>
      </w:r>
      <w:r w:rsidRPr="00D04C75">
        <w:t xml:space="preserve">This decision was in recognition that IPPF understood itself as part of an aid ecosystem that has been shaped by forces of colonialism and racism and was committed to ensuring that these are not reproduced or perpetuated by the organization. That understanding this was critical to the integrity, </w:t>
      </w:r>
      <w:r w:rsidR="00C32CD5" w:rsidRPr="00D04C75">
        <w:t>efficacy,</w:t>
      </w:r>
      <w:r w:rsidRPr="00D04C75">
        <w:t xml:space="preserve"> and continued relevance of IPPF. </w:t>
      </w:r>
    </w:p>
    <w:p w14:paraId="1B1B5EB5" w14:textId="52448207" w:rsidR="00B45A81" w:rsidRPr="00D04C75" w:rsidRDefault="00B45A81" w:rsidP="00B45A81">
      <w:r w:rsidRPr="00D04C75">
        <w:t>The program recognized that IPPF is not immune to its external environment and wanted to take proactive steps with a view to making a measurable difference before launching our new strategic framework.</w:t>
      </w:r>
    </w:p>
    <w:p w14:paraId="0451551D" w14:textId="6700AC02" w:rsidR="00B45A81" w:rsidRPr="00D04C75" w:rsidRDefault="00B45A81" w:rsidP="00B45A81">
      <w:pPr>
        <w:rPr>
          <w:lang w:val="en-GB"/>
        </w:rPr>
      </w:pPr>
      <w:r w:rsidRPr="00D04C75">
        <w:t xml:space="preserve">What had been revealed in the lead up to the process of creating this program was how </w:t>
      </w:r>
      <w:r w:rsidR="00C32CD5" w:rsidRPr="00D04C75">
        <w:t>critical foundational</w:t>
      </w:r>
      <w:r w:rsidRPr="00D04C75">
        <w:t xml:space="preserve"> learning was, and that we needed shared agreement on critical milestones</w:t>
      </w:r>
      <w:r w:rsidR="00C32CD5" w:rsidRPr="00D04C75">
        <w:t xml:space="preserve">. </w:t>
      </w:r>
      <w:r w:rsidRPr="00D04C75">
        <w:t>With that in mind, we move</w:t>
      </w:r>
      <w:r w:rsidR="00C32CD5" w:rsidRPr="00D04C75">
        <w:t>d</w:t>
      </w:r>
      <w:r w:rsidRPr="00D04C75">
        <w:t xml:space="preserve"> forward </w:t>
      </w:r>
      <w:r w:rsidR="00C32CD5" w:rsidRPr="00D04C75">
        <w:t>with a commitment to</w:t>
      </w:r>
      <w:r w:rsidRPr="00D04C75">
        <w:t xml:space="preserve"> meaningful progress – progress that </w:t>
      </w:r>
      <w:r w:rsidR="00C32CD5" w:rsidRPr="00D04C75">
        <w:t xml:space="preserve">would be </w:t>
      </w:r>
      <w:r w:rsidRPr="00D04C75">
        <w:t>measurable, sustainable,</w:t>
      </w:r>
      <w:r w:rsidR="00C32CD5" w:rsidRPr="00D04C75">
        <w:t xml:space="preserve"> </w:t>
      </w:r>
      <w:r w:rsidRPr="00D04C75">
        <w:t>restorative.</w:t>
      </w:r>
    </w:p>
    <w:p w14:paraId="3EC6E231" w14:textId="2DD118E8" w:rsidR="00C32CD5" w:rsidRPr="00D04C75" w:rsidRDefault="00B45A81" w:rsidP="00B45A81">
      <w:r w:rsidRPr="00D04C75">
        <w:t xml:space="preserve">To deliver on this; the DLT decided to tap into unspent Solutions 6 funds and contract in external consultants to ensure a </w:t>
      </w:r>
      <w:r w:rsidR="00C32CD5" w:rsidRPr="00D04C75">
        <w:t>Program of Action was delivered on. A working group of committed change makers kept the work moving forward, despite what were difficult and highly charged circumstances.</w:t>
      </w:r>
      <w:r w:rsidR="00D26EBE" w:rsidRPr="00D04C75">
        <w:t xml:space="preserve"> A Program Lead was hired to oversee the work; and will continue to oversee the second phase of the Anti</w:t>
      </w:r>
      <w:r w:rsidR="0010320E" w:rsidRPr="00D04C75">
        <w:t>-</w:t>
      </w:r>
      <w:r w:rsidR="00D26EBE" w:rsidRPr="00D04C75">
        <w:t xml:space="preserve">Racism Program of Action. </w:t>
      </w:r>
    </w:p>
    <w:p w14:paraId="13969D98" w14:textId="2AB74A09" w:rsidR="0051506A" w:rsidRPr="00D04C75" w:rsidRDefault="00C32CD5">
      <w:pPr>
        <w:rPr>
          <w:b/>
          <w:bCs/>
          <w:sz w:val="28"/>
          <w:szCs w:val="28"/>
          <w:lang w:val="en-GB"/>
        </w:rPr>
      </w:pPr>
      <w:r w:rsidRPr="00D04C75">
        <w:t xml:space="preserve">On July </w:t>
      </w:r>
      <w:proofErr w:type="gramStart"/>
      <w:r w:rsidRPr="00D04C75">
        <w:t>0</w:t>
      </w:r>
      <w:r w:rsidR="00D04C75">
        <w:t>8</w:t>
      </w:r>
      <w:proofErr w:type="gramEnd"/>
      <w:r w:rsidRPr="00D04C75">
        <w:t xml:space="preserve"> 2021</w:t>
      </w:r>
      <w:r w:rsidR="0010320E" w:rsidRPr="00D04C75">
        <w:t>,</w:t>
      </w:r>
      <w:r w:rsidRPr="00D04C75">
        <w:t xml:space="preserve"> a report with key recommendations was delivered to the </w:t>
      </w:r>
      <w:r w:rsidR="00D04C75">
        <w:t xml:space="preserve">DLT and the </w:t>
      </w:r>
      <w:r w:rsidRPr="00D04C75">
        <w:t>Working Group</w:t>
      </w:r>
      <w:r w:rsidR="00D04C75">
        <w:t>, who</w:t>
      </w:r>
      <w:r w:rsidRPr="00D04C75">
        <w:t xml:space="preserve"> </w:t>
      </w:r>
      <w:r w:rsidR="00D04C75">
        <w:t>agreed on</w:t>
      </w:r>
      <w:r w:rsidRPr="00D04C75">
        <w:t xml:space="preserve"> two weeks to digest what was a sobering report and </w:t>
      </w:r>
      <w:r w:rsidR="00D04C75">
        <w:t xml:space="preserve">for DLT to </w:t>
      </w:r>
      <w:r w:rsidRPr="00D04C75">
        <w:t xml:space="preserve">consider a management response. This paper is the response to the report. </w:t>
      </w:r>
    </w:p>
    <w:p w14:paraId="674CF55F" w14:textId="77911319" w:rsidR="00B45A81" w:rsidRPr="00D04C75" w:rsidRDefault="00D26EBE">
      <w:pPr>
        <w:rPr>
          <w:b/>
          <w:bCs/>
          <w:sz w:val="28"/>
          <w:szCs w:val="28"/>
          <w:lang w:val="en-GB"/>
        </w:rPr>
      </w:pPr>
      <w:r w:rsidRPr="00D04C75">
        <w:rPr>
          <w:b/>
          <w:bCs/>
          <w:sz w:val="28"/>
          <w:szCs w:val="28"/>
          <w:lang w:val="en-GB"/>
        </w:rPr>
        <w:t xml:space="preserve">IPPF Stance and Values </w:t>
      </w:r>
    </w:p>
    <w:p w14:paraId="075C1A9B" w14:textId="5A19EB70" w:rsidR="00D26EBE" w:rsidRPr="00D04C75" w:rsidRDefault="00D26EBE">
      <w:pPr>
        <w:rPr>
          <w:lang w:val="en-GB"/>
        </w:rPr>
      </w:pPr>
      <w:r w:rsidRPr="00D04C75">
        <w:rPr>
          <w:lang w:val="en-GB"/>
        </w:rPr>
        <w:t xml:space="preserve">IPPF is committed to being an anti-racist organization. We believe this is more than just refraining from acting in ways that are discriminatory, but in taking practical and positive steps forward that dismantle the impact of existing and systemic racism within our Secretariat. For this </w:t>
      </w:r>
      <w:r w:rsidR="0017426F" w:rsidRPr="00D04C75">
        <w:rPr>
          <w:lang w:val="en-GB"/>
        </w:rPr>
        <w:t>reason,</w:t>
      </w:r>
      <w:r w:rsidRPr="00D04C75">
        <w:rPr>
          <w:lang w:val="en-GB"/>
        </w:rPr>
        <w:t xml:space="preserve"> we embarked on a multi-year Program of Action.</w:t>
      </w:r>
    </w:p>
    <w:p w14:paraId="0681725D" w14:textId="35C50961" w:rsidR="00D26EBE" w:rsidRPr="00D04C75" w:rsidRDefault="00D26EBE">
      <w:pPr>
        <w:rPr>
          <w:lang w:val="en-GB"/>
        </w:rPr>
      </w:pPr>
      <w:r w:rsidRPr="00D04C75">
        <w:rPr>
          <w:lang w:val="en-GB"/>
        </w:rPr>
        <w:t xml:space="preserve">We believe that delivering on this commitment requires action and activism across </w:t>
      </w:r>
      <w:proofErr w:type="gramStart"/>
      <w:r w:rsidR="0017426F" w:rsidRPr="00D04C75">
        <w:rPr>
          <w:lang w:val="en-GB"/>
        </w:rPr>
        <w:t>all</w:t>
      </w:r>
      <w:r w:rsidRPr="00D04C75">
        <w:rPr>
          <w:lang w:val="en-GB"/>
        </w:rPr>
        <w:t xml:space="preserve"> </w:t>
      </w:r>
      <w:r w:rsidR="0017426F" w:rsidRPr="00D04C75">
        <w:rPr>
          <w:lang w:val="en-GB"/>
        </w:rPr>
        <w:t>of</w:t>
      </w:r>
      <w:proofErr w:type="gramEnd"/>
      <w:r w:rsidR="0017426F" w:rsidRPr="00D04C75">
        <w:rPr>
          <w:lang w:val="en-GB"/>
        </w:rPr>
        <w:t xml:space="preserve"> </w:t>
      </w:r>
      <w:r w:rsidRPr="00D04C75">
        <w:rPr>
          <w:lang w:val="en-GB"/>
        </w:rPr>
        <w:t xml:space="preserve">the Secretariat, so that staff and volunteers can thrive in a work environment that is free from discrimination, from prejudice and from marginalisation. </w:t>
      </w:r>
      <w:r w:rsidR="00DF710C" w:rsidRPr="00D04C75">
        <w:rPr>
          <w:lang w:val="en-GB"/>
        </w:rPr>
        <w:t xml:space="preserve">IPPF will proceed in the spirit of an un-learning organisation. </w:t>
      </w:r>
    </w:p>
    <w:p w14:paraId="7572E5BE" w14:textId="03858738" w:rsidR="0051506A" w:rsidRPr="00D04C75" w:rsidRDefault="00DF710C">
      <w:pPr>
        <w:rPr>
          <w:b/>
          <w:bCs/>
          <w:sz w:val="28"/>
          <w:szCs w:val="28"/>
          <w:lang w:val="en-GB"/>
        </w:rPr>
      </w:pPr>
      <w:r w:rsidRPr="00D04C75">
        <w:rPr>
          <w:lang w:val="en-GB"/>
        </w:rPr>
        <w:lastRenderedPageBreak/>
        <w:t>This means</w:t>
      </w:r>
      <w:r w:rsidR="00F70E10" w:rsidRPr="00D04C75">
        <w:rPr>
          <w:lang w:val="en-GB"/>
        </w:rPr>
        <w:t xml:space="preserve">, we recognise that a statement can be inadequate, and for this reason we are proposing deeper internal dialogue in the lead up to the IPPF General Assembly, where a statement will be ratified by our full Federation. </w:t>
      </w:r>
    </w:p>
    <w:p w14:paraId="1535C4AB" w14:textId="14289F45" w:rsidR="00C32CD5" w:rsidRPr="00D04C75" w:rsidRDefault="00C32CD5">
      <w:pPr>
        <w:rPr>
          <w:b/>
          <w:bCs/>
          <w:sz w:val="28"/>
          <w:szCs w:val="28"/>
          <w:lang w:val="en-GB"/>
        </w:rPr>
      </w:pPr>
      <w:r w:rsidRPr="00D04C75">
        <w:rPr>
          <w:b/>
          <w:bCs/>
          <w:sz w:val="28"/>
          <w:szCs w:val="28"/>
          <w:lang w:val="en-GB"/>
        </w:rPr>
        <w:t>Management Response</w:t>
      </w:r>
    </w:p>
    <w:p w14:paraId="1D5641D1" w14:textId="471E2DB7" w:rsidR="00D26EBE" w:rsidRPr="00D04C75" w:rsidRDefault="00C32CD5">
      <w:pPr>
        <w:rPr>
          <w:lang w:val="en-GB"/>
        </w:rPr>
      </w:pPr>
      <w:r w:rsidRPr="00D04C75">
        <w:rPr>
          <w:lang w:val="en-GB"/>
        </w:rPr>
        <w:t xml:space="preserve">The DLT </w:t>
      </w:r>
      <w:r w:rsidR="0010320E" w:rsidRPr="00D04C75">
        <w:rPr>
          <w:lang w:val="en-GB"/>
        </w:rPr>
        <w:t>made a proactive decision</w:t>
      </w:r>
      <w:r w:rsidR="00D26EBE" w:rsidRPr="00D04C75">
        <w:rPr>
          <w:lang w:val="en-GB"/>
        </w:rPr>
        <w:t xml:space="preserve"> to guide the organisation through this program of action and welcomes the report. It also </w:t>
      </w:r>
      <w:r w:rsidR="00A41D2C" w:rsidRPr="00D04C75">
        <w:rPr>
          <w:lang w:val="en-GB"/>
        </w:rPr>
        <w:t>retains the same</w:t>
      </w:r>
      <w:r w:rsidR="00D26EBE" w:rsidRPr="00D04C75">
        <w:rPr>
          <w:lang w:val="en-GB"/>
        </w:rPr>
        <w:t xml:space="preserve"> </w:t>
      </w:r>
      <w:r w:rsidR="00A41D2C" w:rsidRPr="00D04C75">
        <w:rPr>
          <w:lang w:val="en-GB"/>
        </w:rPr>
        <w:t xml:space="preserve">ambition and </w:t>
      </w:r>
      <w:r w:rsidR="00D26EBE" w:rsidRPr="00D04C75">
        <w:rPr>
          <w:lang w:val="en-GB"/>
        </w:rPr>
        <w:t xml:space="preserve">aspiration for the second phase, after an incredible and often difficult learning journey in phase 1. </w:t>
      </w:r>
    </w:p>
    <w:p w14:paraId="7E13FFC1" w14:textId="7C77D23A" w:rsidR="00E8540E" w:rsidRPr="00D04C75" w:rsidRDefault="00D26EBE">
      <w:pPr>
        <w:rPr>
          <w:lang w:val="en-GB"/>
        </w:rPr>
      </w:pPr>
      <w:r w:rsidRPr="00D04C75">
        <w:rPr>
          <w:lang w:val="en-GB"/>
        </w:rPr>
        <w:t xml:space="preserve">On </w:t>
      </w:r>
      <w:r w:rsidR="0010320E" w:rsidRPr="00D04C75">
        <w:rPr>
          <w:lang w:val="en-GB"/>
        </w:rPr>
        <w:t xml:space="preserve">07 July </w:t>
      </w:r>
      <w:r w:rsidR="00A41D2C" w:rsidRPr="00D04C75">
        <w:rPr>
          <w:lang w:val="en-GB"/>
        </w:rPr>
        <w:t xml:space="preserve">we </w:t>
      </w:r>
      <w:r w:rsidRPr="00D04C75">
        <w:rPr>
          <w:lang w:val="en-GB"/>
        </w:rPr>
        <w:t xml:space="preserve">received the </w:t>
      </w:r>
      <w:r w:rsidR="00D04C75" w:rsidRPr="00D04C75">
        <w:rPr>
          <w:lang w:val="en-GB"/>
        </w:rPr>
        <w:t>report and</w:t>
      </w:r>
      <w:r w:rsidRPr="00D04C75">
        <w:rPr>
          <w:lang w:val="en-GB"/>
        </w:rPr>
        <w:t xml:space="preserve"> </w:t>
      </w:r>
      <w:r w:rsidR="00A41D2C" w:rsidRPr="00D04C75">
        <w:rPr>
          <w:lang w:val="en-GB"/>
        </w:rPr>
        <w:t>have</w:t>
      </w:r>
      <w:r w:rsidR="00C32CD5" w:rsidRPr="00D04C75">
        <w:rPr>
          <w:lang w:val="en-GB"/>
        </w:rPr>
        <w:t xml:space="preserve"> read </w:t>
      </w:r>
      <w:r w:rsidR="00A41D2C" w:rsidRPr="00D04C75">
        <w:rPr>
          <w:lang w:val="en-GB"/>
        </w:rPr>
        <w:t xml:space="preserve">and reflected </w:t>
      </w:r>
      <w:r w:rsidR="005F0160" w:rsidRPr="00D04C75">
        <w:rPr>
          <w:lang w:val="en-GB"/>
        </w:rPr>
        <w:t>on the very stark and confronting</w:t>
      </w:r>
      <w:r w:rsidR="00A41D2C" w:rsidRPr="00D04C75">
        <w:rPr>
          <w:lang w:val="en-GB"/>
        </w:rPr>
        <w:t xml:space="preserve"> content. </w:t>
      </w:r>
      <w:r w:rsidR="005F0160" w:rsidRPr="00D04C75">
        <w:rPr>
          <w:lang w:val="en-GB"/>
        </w:rPr>
        <w:t>Sobering narratives that are</w:t>
      </w:r>
      <w:r w:rsidR="00A41D2C" w:rsidRPr="00D04C75">
        <w:rPr>
          <w:lang w:val="en-GB"/>
        </w:rPr>
        <w:t xml:space="preserve"> the lived experience of our colleagues</w:t>
      </w:r>
      <w:r w:rsidR="00C32CD5" w:rsidRPr="00D04C75">
        <w:rPr>
          <w:lang w:val="en-GB"/>
        </w:rPr>
        <w:t xml:space="preserve">. DLT itself is a highly diverse group, </w:t>
      </w:r>
      <w:r w:rsidR="00A41D2C" w:rsidRPr="00D04C75">
        <w:rPr>
          <w:lang w:val="en-GB"/>
        </w:rPr>
        <w:t xml:space="preserve">who informed some of the contents of the report and some of whom </w:t>
      </w:r>
      <w:r w:rsidR="00C32CD5" w:rsidRPr="00D04C75">
        <w:rPr>
          <w:lang w:val="en-GB"/>
        </w:rPr>
        <w:t xml:space="preserve">bring </w:t>
      </w:r>
      <w:r w:rsidR="00A41D2C" w:rsidRPr="00D04C75">
        <w:rPr>
          <w:lang w:val="en-GB"/>
        </w:rPr>
        <w:t>our</w:t>
      </w:r>
      <w:r w:rsidR="00C32CD5" w:rsidRPr="00D04C75">
        <w:rPr>
          <w:lang w:val="en-GB"/>
        </w:rPr>
        <w:t xml:space="preserve"> own experiences of racism</w:t>
      </w:r>
      <w:r w:rsidR="00A41D2C" w:rsidRPr="00D04C75">
        <w:rPr>
          <w:lang w:val="en-GB"/>
        </w:rPr>
        <w:t xml:space="preserve">. </w:t>
      </w:r>
      <w:r w:rsidR="00D04C75" w:rsidRPr="00D04C75">
        <w:rPr>
          <w:lang w:val="en-GB"/>
        </w:rPr>
        <w:t>We</w:t>
      </w:r>
      <w:r w:rsidRPr="00D04C75">
        <w:rPr>
          <w:lang w:val="en-GB"/>
        </w:rPr>
        <w:t xml:space="preserve"> want to proceed in a trauma informed way – </w:t>
      </w:r>
      <w:r w:rsidR="005F0160" w:rsidRPr="00D04C75">
        <w:rPr>
          <w:lang w:val="en-GB"/>
        </w:rPr>
        <w:t xml:space="preserve">we want our response to be </w:t>
      </w:r>
      <w:r w:rsidRPr="00D04C75">
        <w:rPr>
          <w:lang w:val="en-GB"/>
        </w:rPr>
        <w:t>affirming</w:t>
      </w:r>
      <w:r w:rsidR="00C32CD5" w:rsidRPr="00D04C75">
        <w:rPr>
          <w:lang w:val="en-GB"/>
        </w:rPr>
        <w:t>, safe and w</w:t>
      </w:r>
      <w:r w:rsidR="005F0160" w:rsidRPr="00D04C75">
        <w:rPr>
          <w:lang w:val="en-GB"/>
        </w:rPr>
        <w:t>e want it to</w:t>
      </w:r>
      <w:r w:rsidR="00C32CD5" w:rsidRPr="00D04C75">
        <w:rPr>
          <w:lang w:val="en-GB"/>
        </w:rPr>
        <w:t xml:space="preserve"> inspire </w:t>
      </w:r>
      <w:r w:rsidR="005F0160" w:rsidRPr="00D04C75">
        <w:rPr>
          <w:lang w:val="en-GB"/>
        </w:rPr>
        <w:t xml:space="preserve">collective </w:t>
      </w:r>
      <w:r w:rsidR="00C32CD5" w:rsidRPr="00D04C75">
        <w:rPr>
          <w:lang w:val="en-GB"/>
        </w:rPr>
        <w:t xml:space="preserve">change. </w:t>
      </w:r>
      <w:r w:rsidR="0010320E" w:rsidRPr="00D04C75">
        <w:rPr>
          <w:lang w:val="en-GB"/>
        </w:rPr>
        <w:t>We have considered all recommendations, and in key areas have decided these did not go far enough. After some deliberation we added further recommendations designed to move the organisation forward.</w:t>
      </w:r>
    </w:p>
    <w:p w14:paraId="6113DB75" w14:textId="1BC904B7" w:rsidR="0017426F" w:rsidRPr="00D04C75" w:rsidRDefault="0017426F">
      <w:pPr>
        <w:rPr>
          <w:lang w:val="en-GB"/>
        </w:rPr>
      </w:pPr>
      <w:r w:rsidRPr="00D04C75">
        <w:rPr>
          <w:lang w:val="en-GB"/>
        </w:rPr>
        <w:t>We are committed to co-creating a</w:t>
      </w:r>
      <w:r w:rsidR="00BA370B" w:rsidRPr="00D04C75">
        <w:rPr>
          <w:lang w:val="en-GB"/>
        </w:rPr>
        <w:t>n institutionalized and</w:t>
      </w:r>
      <w:r w:rsidRPr="00D04C75">
        <w:rPr>
          <w:lang w:val="en-GB"/>
        </w:rPr>
        <w:t xml:space="preserve"> systemic approach, that recognises the diversity of the Secretariat and that interlinks to our</w:t>
      </w:r>
      <w:r w:rsidR="005F0160" w:rsidRPr="00D04C75">
        <w:rPr>
          <w:lang w:val="en-GB"/>
        </w:rPr>
        <w:t xml:space="preserve"> commitment to</w:t>
      </w:r>
      <w:r w:rsidRPr="00D04C75">
        <w:rPr>
          <w:lang w:val="en-GB"/>
        </w:rPr>
        <w:t xml:space="preserve"> intersectional</w:t>
      </w:r>
      <w:r w:rsidR="005F0160" w:rsidRPr="00D04C75">
        <w:rPr>
          <w:lang w:val="en-GB"/>
        </w:rPr>
        <w:t>ity</w:t>
      </w:r>
      <w:r w:rsidRPr="00D04C75">
        <w:rPr>
          <w:lang w:val="en-GB"/>
        </w:rPr>
        <w:t xml:space="preserve">. </w:t>
      </w:r>
      <w:r w:rsidR="005F0160" w:rsidRPr="00D04C75">
        <w:rPr>
          <w:lang w:val="en-GB"/>
        </w:rPr>
        <w:t xml:space="preserve">We want to do better on making our work more accessible to those that live outside of the global north, making links that resonate in countries who talk about race and power in different ways. </w:t>
      </w:r>
      <w:r w:rsidRPr="00D04C75">
        <w:rPr>
          <w:lang w:val="en-GB"/>
        </w:rPr>
        <w:t xml:space="preserve">Our action will consider anti-racism and other interlinking areas that further marginalise our colleagues, whether it be their </w:t>
      </w:r>
      <w:r w:rsidR="00CF7CFA" w:rsidRPr="00D04C75">
        <w:rPr>
          <w:lang w:val="en-GB"/>
        </w:rPr>
        <w:t xml:space="preserve">age, ability, </w:t>
      </w:r>
      <w:r w:rsidRPr="00D04C75">
        <w:rPr>
          <w:lang w:val="en-GB"/>
        </w:rPr>
        <w:t>sexuality or gender identity. We will ensure communication is multi-directional</w:t>
      </w:r>
      <w:r w:rsidR="0010320E" w:rsidRPr="00D04C75">
        <w:rPr>
          <w:lang w:val="en-GB"/>
        </w:rPr>
        <w:t>, that we commit to unlearning and will continue to check in on our own biases.</w:t>
      </w:r>
      <w:r w:rsidR="00D04C75">
        <w:rPr>
          <w:lang w:val="en-GB"/>
        </w:rPr>
        <w:t xml:space="preserve"> </w:t>
      </w:r>
      <w:r w:rsidR="0010320E" w:rsidRPr="00D04C75">
        <w:rPr>
          <w:lang w:val="en-GB"/>
        </w:rPr>
        <w:t>W</w:t>
      </w:r>
      <w:r w:rsidR="00CF7CFA" w:rsidRPr="00D04C75">
        <w:rPr>
          <w:lang w:val="en-GB"/>
        </w:rPr>
        <w:t xml:space="preserve">e </w:t>
      </w:r>
      <w:r w:rsidRPr="00D04C75">
        <w:rPr>
          <w:lang w:val="en-GB"/>
        </w:rPr>
        <w:t xml:space="preserve">will not shy away from making links between anti-racism and SRHR in everything we do. </w:t>
      </w:r>
    </w:p>
    <w:p w14:paraId="64A71805" w14:textId="595991D2" w:rsidR="0017426F" w:rsidRPr="00D04C75" w:rsidRDefault="0017426F">
      <w:pPr>
        <w:rPr>
          <w:lang w:val="en-GB"/>
        </w:rPr>
      </w:pPr>
      <w:r w:rsidRPr="00D04C75">
        <w:rPr>
          <w:lang w:val="en-GB"/>
        </w:rPr>
        <w:t>As DLT we take accountability in IPPF’s response</w:t>
      </w:r>
      <w:r w:rsidR="005F0160" w:rsidRPr="00D04C75">
        <w:rPr>
          <w:lang w:val="en-GB"/>
        </w:rPr>
        <w:t>, and</w:t>
      </w:r>
      <w:r w:rsidRPr="00D04C75">
        <w:rPr>
          <w:lang w:val="en-GB"/>
        </w:rPr>
        <w:t xml:space="preserve"> we will elevate all voices and </w:t>
      </w:r>
      <w:r w:rsidR="00D04C75">
        <w:rPr>
          <w:lang w:val="en-GB"/>
        </w:rPr>
        <w:t>support</w:t>
      </w:r>
      <w:r w:rsidRPr="00D04C75">
        <w:rPr>
          <w:lang w:val="en-GB"/>
        </w:rPr>
        <w:t xml:space="preserve"> the </w:t>
      </w:r>
      <w:r w:rsidR="00CF7CFA" w:rsidRPr="00D04C75">
        <w:rPr>
          <w:lang w:val="en-GB"/>
        </w:rPr>
        <w:t>W</w:t>
      </w:r>
      <w:r w:rsidRPr="00D04C75">
        <w:rPr>
          <w:lang w:val="en-GB"/>
        </w:rPr>
        <w:t xml:space="preserve">orking </w:t>
      </w:r>
      <w:r w:rsidR="00CF7CFA" w:rsidRPr="00D04C75">
        <w:rPr>
          <w:lang w:val="en-GB"/>
        </w:rPr>
        <w:t>G</w:t>
      </w:r>
      <w:r w:rsidRPr="00D04C75">
        <w:rPr>
          <w:lang w:val="en-GB"/>
        </w:rPr>
        <w:t>roup</w:t>
      </w:r>
      <w:r w:rsidR="00D04C75">
        <w:rPr>
          <w:lang w:val="en-GB"/>
        </w:rPr>
        <w:t xml:space="preserve"> to</w:t>
      </w:r>
      <w:r w:rsidRPr="00D04C75">
        <w:rPr>
          <w:lang w:val="en-GB"/>
        </w:rPr>
        <w:t xml:space="preserve"> </w:t>
      </w:r>
      <w:r w:rsidR="00F10499" w:rsidRPr="00D04C75">
        <w:rPr>
          <w:lang w:val="en-GB"/>
        </w:rPr>
        <w:t>shape</w:t>
      </w:r>
      <w:r w:rsidR="00CF7CFA" w:rsidRPr="00D04C75">
        <w:rPr>
          <w:lang w:val="en-GB"/>
        </w:rPr>
        <w:t xml:space="preserve"> its own membership who </w:t>
      </w:r>
      <w:r w:rsidRPr="00D04C75">
        <w:rPr>
          <w:lang w:val="en-GB"/>
        </w:rPr>
        <w:t xml:space="preserve">are empowered to lead, and that staff can continue to disrupt and challenge the culture when it is not good enough. </w:t>
      </w:r>
      <w:r w:rsidR="005F0160" w:rsidRPr="00D04C75">
        <w:rPr>
          <w:lang w:val="en-GB"/>
        </w:rPr>
        <w:t xml:space="preserve">We continue to learn </w:t>
      </w:r>
      <w:r w:rsidR="005F76E3" w:rsidRPr="00D04C75">
        <w:rPr>
          <w:lang w:val="en-GB"/>
        </w:rPr>
        <w:t>from and</w:t>
      </w:r>
      <w:r w:rsidR="005F0160" w:rsidRPr="00D04C75">
        <w:rPr>
          <w:lang w:val="en-GB"/>
        </w:rPr>
        <w:t xml:space="preserve"> be inspired by our MA’s and are committed to an anti-oppressive framework. </w:t>
      </w:r>
      <w:r w:rsidR="00D12E1D" w:rsidRPr="00D04C75">
        <w:rPr>
          <w:lang w:val="en-GB"/>
        </w:rPr>
        <w:t>We recognise</w:t>
      </w:r>
      <w:r w:rsidR="001A4894" w:rsidRPr="00D04C75">
        <w:rPr>
          <w:lang w:val="en-GB"/>
        </w:rPr>
        <w:t xml:space="preserve"> the report also raises issues of poor management and discrimination beyond racism</w:t>
      </w:r>
      <w:r w:rsidR="00A548E6" w:rsidRPr="00D04C75">
        <w:rPr>
          <w:lang w:val="en-GB"/>
        </w:rPr>
        <w:t>; they will be addressed in parallel.</w:t>
      </w:r>
    </w:p>
    <w:p w14:paraId="537F4E23" w14:textId="1D2FC04B" w:rsidR="0017426F" w:rsidRPr="00D04C75" w:rsidRDefault="0017426F">
      <w:pPr>
        <w:rPr>
          <w:lang w:val="en-GB"/>
        </w:rPr>
      </w:pPr>
      <w:r w:rsidRPr="00D04C75">
        <w:rPr>
          <w:lang w:val="en-GB"/>
        </w:rPr>
        <w:t xml:space="preserve">The learnings from the report; and the learning in Phase 2 will inform the new strategic plan; launching an IPPF that is wiser, safer, more </w:t>
      </w:r>
      <w:r w:rsidR="005F76E3" w:rsidRPr="00D04C75">
        <w:rPr>
          <w:lang w:val="en-GB"/>
        </w:rPr>
        <w:t>joyous,</w:t>
      </w:r>
      <w:r w:rsidRPr="00D04C75">
        <w:rPr>
          <w:lang w:val="en-GB"/>
        </w:rPr>
        <w:t xml:space="preserve"> and braver. </w:t>
      </w:r>
    </w:p>
    <w:p w14:paraId="59485043" w14:textId="0A5C4EF1" w:rsidR="005F0160" w:rsidRPr="00D04C75" w:rsidRDefault="005F0160">
      <w:pPr>
        <w:rPr>
          <w:lang w:val="en-GB"/>
        </w:rPr>
      </w:pPr>
      <w:r w:rsidRPr="00D04C75">
        <w:rPr>
          <w:lang w:val="en-GB"/>
        </w:rPr>
        <w:t xml:space="preserve">We want to sincerely thank all those that have come on this journey, and those ahead of us that will </w:t>
      </w:r>
      <w:r w:rsidR="005F76E3" w:rsidRPr="00D04C75">
        <w:rPr>
          <w:lang w:val="en-GB"/>
        </w:rPr>
        <w:t>contribute to this next</w:t>
      </w:r>
      <w:r w:rsidRPr="00D04C75">
        <w:rPr>
          <w:lang w:val="en-GB"/>
        </w:rPr>
        <w:t xml:space="preserve"> phase. We want to recognise how difficult it has </w:t>
      </w:r>
      <w:r w:rsidR="005F76E3" w:rsidRPr="00D04C75">
        <w:rPr>
          <w:lang w:val="en-GB"/>
        </w:rPr>
        <w:t>been and</w:t>
      </w:r>
      <w:r w:rsidRPr="00D04C75">
        <w:rPr>
          <w:lang w:val="en-GB"/>
        </w:rPr>
        <w:t xml:space="preserve"> </w:t>
      </w:r>
      <w:r w:rsidR="005F76E3" w:rsidRPr="00D04C75">
        <w:rPr>
          <w:lang w:val="en-GB"/>
        </w:rPr>
        <w:t xml:space="preserve">to </w:t>
      </w:r>
      <w:r w:rsidRPr="00D04C75">
        <w:rPr>
          <w:lang w:val="en-GB"/>
        </w:rPr>
        <w:t>apologi</w:t>
      </w:r>
      <w:r w:rsidR="005F76E3" w:rsidRPr="00D04C75">
        <w:rPr>
          <w:lang w:val="en-GB"/>
        </w:rPr>
        <w:t>z</w:t>
      </w:r>
      <w:r w:rsidRPr="00D04C75">
        <w:rPr>
          <w:lang w:val="en-GB"/>
        </w:rPr>
        <w:t xml:space="preserve">e for </w:t>
      </w:r>
      <w:r w:rsidR="005F76E3" w:rsidRPr="00D04C75">
        <w:rPr>
          <w:lang w:val="en-GB"/>
        </w:rPr>
        <w:t xml:space="preserve">those impacted by our culture that was revealed in </w:t>
      </w:r>
      <w:r w:rsidRPr="00D04C75">
        <w:rPr>
          <w:lang w:val="en-GB"/>
        </w:rPr>
        <w:t xml:space="preserve">the testimonies we have born witness too. We have zero tolerance for racism in any form; your stories have sparked this new wave of change. </w:t>
      </w:r>
    </w:p>
    <w:p w14:paraId="066D9425" w14:textId="08ACAF88" w:rsidR="0010320E" w:rsidRPr="00105491" w:rsidRDefault="00DF710C">
      <w:pPr>
        <w:rPr>
          <w:lang w:val="es-ES"/>
        </w:rPr>
      </w:pPr>
      <w:r w:rsidRPr="00105491">
        <w:rPr>
          <w:lang w:val="es-ES"/>
        </w:rPr>
        <w:t xml:space="preserve">In </w:t>
      </w:r>
      <w:proofErr w:type="spellStart"/>
      <w:r w:rsidRPr="00105491">
        <w:rPr>
          <w:lang w:val="es-ES"/>
        </w:rPr>
        <w:t>solidarity</w:t>
      </w:r>
      <w:proofErr w:type="spellEnd"/>
      <w:r w:rsidRPr="00105491">
        <w:rPr>
          <w:lang w:val="es-ES"/>
        </w:rPr>
        <w:t xml:space="preserve">, </w:t>
      </w:r>
    </w:p>
    <w:p w14:paraId="4050B7B6" w14:textId="77777777" w:rsidR="0010320E" w:rsidRPr="00105491" w:rsidRDefault="0010320E" w:rsidP="00A54EE4">
      <w:pPr>
        <w:spacing w:line="240" w:lineRule="auto"/>
        <w:rPr>
          <w:lang w:val="es-ES"/>
        </w:rPr>
      </w:pPr>
      <w:r w:rsidRPr="00105491">
        <w:rPr>
          <w:lang w:val="es-ES"/>
        </w:rPr>
        <w:t xml:space="preserve">Alvaro Bermejo </w:t>
      </w:r>
    </w:p>
    <w:p w14:paraId="6F3A45C1" w14:textId="77777777" w:rsidR="0010320E" w:rsidRPr="00105491" w:rsidRDefault="0010320E" w:rsidP="00A54EE4">
      <w:pPr>
        <w:spacing w:line="240" w:lineRule="auto"/>
        <w:rPr>
          <w:lang w:val="es-ES"/>
        </w:rPr>
      </w:pPr>
      <w:r w:rsidRPr="00105491">
        <w:rPr>
          <w:lang w:val="es-ES"/>
        </w:rPr>
        <w:t xml:space="preserve">Caroline Hickson </w:t>
      </w:r>
    </w:p>
    <w:p w14:paraId="27EB7E8E" w14:textId="77777777" w:rsidR="0010320E" w:rsidRPr="00105491" w:rsidRDefault="0010320E" w:rsidP="00A54EE4">
      <w:pPr>
        <w:spacing w:line="240" w:lineRule="auto"/>
        <w:rPr>
          <w:lang w:val="es-ES"/>
        </w:rPr>
      </w:pPr>
      <w:r w:rsidRPr="00105491">
        <w:rPr>
          <w:lang w:val="es-ES"/>
        </w:rPr>
        <w:t xml:space="preserve">Eugenia Lopez Uribe </w:t>
      </w:r>
    </w:p>
    <w:p w14:paraId="02212DB7" w14:textId="77777777" w:rsidR="0010320E" w:rsidRPr="00D04C75" w:rsidRDefault="0010320E" w:rsidP="00A54EE4">
      <w:pPr>
        <w:spacing w:line="240" w:lineRule="auto"/>
        <w:rPr>
          <w:lang w:val="en-GB"/>
        </w:rPr>
      </w:pPr>
      <w:r w:rsidRPr="00D04C75">
        <w:rPr>
          <w:lang w:val="en-GB"/>
        </w:rPr>
        <w:t xml:space="preserve">Fadoua Bakhadda </w:t>
      </w:r>
    </w:p>
    <w:p w14:paraId="2CDE4682" w14:textId="77777777" w:rsidR="0010320E" w:rsidRPr="00D04C75" w:rsidRDefault="0010320E" w:rsidP="00A54EE4">
      <w:pPr>
        <w:spacing w:line="240" w:lineRule="auto"/>
        <w:rPr>
          <w:lang w:val="en-GB"/>
        </w:rPr>
      </w:pPr>
      <w:r w:rsidRPr="00D04C75">
        <w:rPr>
          <w:lang w:val="en-GB"/>
        </w:rPr>
        <w:t xml:space="preserve">Manuelle Hurwitz </w:t>
      </w:r>
    </w:p>
    <w:p w14:paraId="78E7269E" w14:textId="17281A64" w:rsidR="0010320E" w:rsidRPr="00D04C75" w:rsidRDefault="0010320E" w:rsidP="00A54EE4">
      <w:pPr>
        <w:spacing w:line="240" w:lineRule="auto"/>
        <w:rPr>
          <w:lang w:val="en-GB"/>
        </w:rPr>
      </w:pPr>
      <w:r w:rsidRPr="00D04C75">
        <w:rPr>
          <w:lang w:val="en-GB"/>
        </w:rPr>
        <w:lastRenderedPageBreak/>
        <w:t>Mina Barlin</w:t>
      </w:r>
      <w:r w:rsidR="00DF710C" w:rsidRPr="00D04C75">
        <w:rPr>
          <w:lang w:val="en-GB"/>
        </w:rPr>
        <w:t>g</w:t>
      </w:r>
    </w:p>
    <w:p w14:paraId="65C55980" w14:textId="72543385" w:rsidR="00DF710C" w:rsidRPr="00D04C75" w:rsidRDefault="00DF710C" w:rsidP="00A54EE4">
      <w:pPr>
        <w:spacing w:line="240" w:lineRule="auto"/>
        <w:rPr>
          <w:lang w:val="en-GB"/>
        </w:rPr>
      </w:pPr>
      <w:r w:rsidRPr="00D04C75">
        <w:rPr>
          <w:lang w:val="en-GB"/>
        </w:rPr>
        <w:t xml:space="preserve">Sam Ntelamo, on behalf of Marie-Evelyne Petrus Barry </w:t>
      </w:r>
    </w:p>
    <w:p w14:paraId="428DAD9E" w14:textId="77777777" w:rsidR="0010320E" w:rsidRPr="00105491" w:rsidRDefault="0010320E" w:rsidP="00A54EE4">
      <w:pPr>
        <w:spacing w:line="240" w:lineRule="auto"/>
        <w:rPr>
          <w:lang w:val="es-ES"/>
        </w:rPr>
      </w:pPr>
      <w:r w:rsidRPr="00105491">
        <w:rPr>
          <w:lang w:val="es-ES"/>
        </w:rPr>
        <w:t xml:space="preserve">Sonal Indravadan Mehta </w:t>
      </w:r>
    </w:p>
    <w:p w14:paraId="245B833A" w14:textId="77777777" w:rsidR="0010320E" w:rsidRPr="00105491" w:rsidRDefault="0010320E" w:rsidP="00A54EE4">
      <w:pPr>
        <w:spacing w:line="240" w:lineRule="auto"/>
        <w:rPr>
          <w:lang w:val="es-ES"/>
        </w:rPr>
      </w:pPr>
      <w:r w:rsidRPr="00105491">
        <w:rPr>
          <w:lang w:val="es-ES"/>
        </w:rPr>
        <w:t xml:space="preserve">Tomoko Fukuda </w:t>
      </w:r>
    </w:p>
    <w:p w14:paraId="124D1E57" w14:textId="63D6B0DF" w:rsidR="00CF7CFA" w:rsidRPr="00105491" w:rsidRDefault="0010320E" w:rsidP="00A54EE4">
      <w:pPr>
        <w:spacing w:line="240" w:lineRule="auto"/>
        <w:rPr>
          <w:lang w:val="es-ES"/>
        </w:rPr>
      </w:pPr>
      <w:r w:rsidRPr="00105491">
        <w:rPr>
          <w:lang w:val="es-ES"/>
        </w:rPr>
        <w:t>Varun Anand</w:t>
      </w:r>
    </w:p>
    <w:p w14:paraId="7DD73041" w14:textId="77777777" w:rsidR="0051506A" w:rsidRPr="00105491" w:rsidRDefault="0051506A" w:rsidP="00A54EE4">
      <w:pPr>
        <w:spacing w:line="240" w:lineRule="auto"/>
        <w:rPr>
          <w:b/>
          <w:bCs/>
          <w:sz w:val="28"/>
          <w:szCs w:val="28"/>
          <w:lang w:val="es-ES"/>
        </w:rPr>
      </w:pPr>
    </w:p>
    <w:p w14:paraId="5CC6F8F0" w14:textId="3E4C4B41" w:rsidR="00CF7CFA" w:rsidRPr="00D04C75" w:rsidRDefault="00CF7CFA">
      <w:pPr>
        <w:rPr>
          <w:b/>
          <w:bCs/>
          <w:sz w:val="28"/>
          <w:szCs w:val="28"/>
          <w:lang w:val="en-GB"/>
        </w:rPr>
      </w:pPr>
      <w:r w:rsidRPr="00D04C75">
        <w:rPr>
          <w:b/>
          <w:bCs/>
          <w:sz w:val="28"/>
          <w:szCs w:val="28"/>
          <w:lang w:val="en-GB"/>
        </w:rPr>
        <w:t>Message from the Anti</w:t>
      </w:r>
      <w:r w:rsidR="004765E2" w:rsidRPr="00D04C75">
        <w:rPr>
          <w:b/>
          <w:bCs/>
          <w:sz w:val="28"/>
          <w:szCs w:val="28"/>
          <w:lang w:val="en-GB"/>
        </w:rPr>
        <w:t>-</w:t>
      </w:r>
      <w:r w:rsidRPr="00D04C75">
        <w:rPr>
          <w:b/>
          <w:bCs/>
          <w:sz w:val="28"/>
          <w:szCs w:val="28"/>
          <w:lang w:val="en-GB"/>
        </w:rPr>
        <w:t xml:space="preserve">Racism Working Group </w:t>
      </w:r>
    </w:p>
    <w:p w14:paraId="2100B077" w14:textId="0FEFDA34" w:rsidR="00B45A81" w:rsidRPr="00D04C75" w:rsidRDefault="004765E2">
      <w:pPr>
        <w:rPr>
          <w:lang w:val="en-GB"/>
        </w:rPr>
      </w:pPr>
      <w:r w:rsidRPr="00D04C75">
        <w:rPr>
          <w:lang w:val="en-GB"/>
        </w:rPr>
        <w:t xml:space="preserve">The </w:t>
      </w:r>
      <w:r w:rsidR="0095165F" w:rsidRPr="00D04C75">
        <w:rPr>
          <w:lang w:val="en-GB"/>
        </w:rPr>
        <w:t>W</w:t>
      </w:r>
      <w:r w:rsidRPr="00D04C75">
        <w:rPr>
          <w:lang w:val="en-GB"/>
        </w:rPr>
        <w:t xml:space="preserve">orking </w:t>
      </w:r>
      <w:r w:rsidR="006E6224" w:rsidRPr="00D04C75">
        <w:rPr>
          <w:lang w:val="en-GB"/>
        </w:rPr>
        <w:t>G</w:t>
      </w:r>
      <w:r w:rsidRPr="00D04C75">
        <w:rPr>
          <w:lang w:val="en-GB"/>
        </w:rPr>
        <w:t>roup was convened in mid</w:t>
      </w:r>
      <w:r w:rsidR="00714ED3" w:rsidRPr="00D04C75">
        <w:rPr>
          <w:lang w:val="en-GB"/>
        </w:rPr>
        <w:t>-</w:t>
      </w:r>
      <w:r w:rsidRPr="00D04C75">
        <w:rPr>
          <w:lang w:val="en-GB"/>
        </w:rPr>
        <w:t xml:space="preserve">2020 </w:t>
      </w:r>
      <w:r w:rsidR="00DE2D29" w:rsidRPr="00D04C75">
        <w:rPr>
          <w:lang w:val="en-GB"/>
        </w:rPr>
        <w:t xml:space="preserve">– just as the </w:t>
      </w:r>
      <w:r w:rsidRPr="00D04C75">
        <w:rPr>
          <w:lang w:val="en-GB"/>
        </w:rPr>
        <w:t xml:space="preserve">COVID </w:t>
      </w:r>
      <w:r w:rsidR="00714ED3" w:rsidRPr="00D04C75">
        <w:rPr>
          <w:lang w:val="en-GB"/>
        </w:rPr>
        <w:t>pandemic</w:t>
      </w:r>
      <w:r w:rsidR="004D655E" w:rsidRPr="00D04C75">
        <w:rPr>
          <w:lang w:val="en-GB"/>
        </w:rPr>
        <w:t xml:space="preserve"> took a firm hold on the world</w:t>
      </w:r>
      <w:r w:rsidR="0015242D" w:rsidRPr="00D04C75">
        <w:rPr>
          <w:lang w:val="en-GB"/>
        </w:rPr>
        <w:t xml:space="preserve"> and</w:t>
      </w:r>
      <w:r w:rsidR="004D655E" w:rsidRPr="00D04C75">
        <w:rPr>
          <w:lang w:val="en-GB"/>
        </w:rPr>
        <w:t xml:space="preserve"> </w:t>
      </w:r>
      <w:r w:rsidR="009E494F" w:rsidRPr="00D04C75">
        <w:rPr>
          <w:lang w:val="en-GB"/>
        </w:rPr>
        <w:t xml:space="preserve">the murder of </w:t>
      </w:r>
      <w:r w:rsidR="00714ED3" w:rsidRPr="00D04C75">
        <w:rPr>
          <w:lang w:val="en-GB"/>
        </w:rPr>
        <w:t xml:space="preserve">George Floyd </w:t>
      </w:r>
      <w:r w:rsidR="00D375A6" w:rsidRPr="00D04C75">
        <w:rPr>
          <w:lang w:val="en-GB"/>
        </w:rPr>
        <w:t xml:space="preserve">sparked </w:t>
      </w:r>
      <w:r w:rsidR="00714ED3" w:rsidRPr="00D04C75">
        <w:rPr>
          <w:lang w:val="en-GB"/>
        </w:rPr>
        <w:t xml:space="preserve">a movement </w:t>
      </w:r>
      <w:r w:rsidR="00432D00" w:rsidRPr="00D04C75">
        <w:rPr>
          <w:lang w:val="en-GB"/>
        </w:rPr>
        <w:t>called Black Lives Matter</w:t>
      </w:r>
      <w:r w:rsidR="6F2F5096" w:rsidRPr="00D04C75">
        <w:rPr>
          <w:lang w:val="en-GB"/>
        </w:rPr>
        <w:t xml:space="preserve"> (BLM)</w:t>
      </w:r>
      <w:r w:rsidR="00432D00" w:rsidRPr="00D04C75">
        <w:rPr>
          <w:lang w:val="en-GB"/>
        </w:rPr>
        <w:t xml:space="preserve">. As </w:t>
      </w:r>
      <w:r w:rsidR="00976927" w:rsidRPr="00D04C75">
        <w:rPr>
          <w:lang w:val="en-GB"/>
        </w:rPr>
        <w:t xml:space="preserve">the </w:t>
      </w:r>
      <w:r w:rsidR="5DB7A505" w:rsidRPr="00D04C75">
        <w:rPr>
          <w:lang w:val="en-GB"/>
        </w:rPr>
        <w:t>B</w:t>
      </w:r>
      <w:r w:rsidR="54C3E331" w:rsidRPr="00D04C75">
        <w:rPr>
          <w:lang w:val="en-GB"/>
        </w:rPr>
        <w:t xml:space="preserve">LM </w:t>
      </w:r>
      <w:r w:rsidR="187302EC" w:rsidRPr="00D04C75">
        <w:rPr>
          <w:lang w:val="en-GB"/>
        </w:rPr>
        <w:t xml:space="preserve">movement </w:t>
      </w:r>
      <w:r w:rsidR="00432D00" w:rsidRPr="00D04C75">
        <w:rPr>
          <w:lang w:val="en-GB"/>
        </w:rPr>
        <w:t>gained momentum</w:t>
      </w:r>
      <w:r w:rsidR="20F6ECA9" w:rsidRPr="00D04C75">
        <w:rPr>
          <w:lang w:val="en-GB"/>
        </w:rPr>
        <w:t xml:space="preserve"> far beyond the US, </w:t>
      </w:r>
      <w:r w:rsidR="00432D00" w:rsidRPr="00D04C75">
        <w:rPr>
          <w:lang w:val="en-GB"/>
        </w:rPr>
        <w:t>many</w:t>
      </w:r>
      <w:r w:rsidR="56E35564" w:rsidRPr="00D04C75">
        <w:rPr>
          <w:lang w:val="en-GB"/>
        </w:rPr>
        <w:t xml:space="preserve"> organisations, including</w:t>
      </w:r>
      <w:r w:rsidR="00971BB1" w:rsidRPr="00D04C75">
        <w:rPr>
          <w:lang w:val="en-GB"/>
        </w:rPr>
        <w:t xml:space="preserve"> IPPF</w:t>
      </w:r>
      <w:r w:rsidR="00EF0400" w:rsidRPr="00D04C75">
        <w:rPr>
          <w:lang w:val="en-GB"/>
        </w:rPr>
        <w:t xml:space="preserve"> </w:t>
      </w:r>
      <w:r w:rsidR="737E5153" w:rsidRPr="00D04C75">
        <w:rPr>
          <w:lang w:val="en-GB"/>
        </w:rPr>
        <w:t>began to</w:t>
      </w:r>
      <w:r w:rsidR="00971BB1" w:rsidRPr="00D04C75">
        <w:rPr>
          <w:lang w:val="en-GB"/>
        </w:rPr>
        <w:t xml:space="preserve"> reflect on its own racism and colonial legacies. </w:t>
      </w:r>
    </w:p>
    <w:p w14:paraId="5EA85C09" w14:textId="7ABECC67" w:rsidR="00971BB1" w:rsidRPr="00D04C75" w:rsidRDefault="0621A07C">
      <w:pPr>
        <w:rPr>
          <w:lang w:val="en-GB"/>
        </w:rPr>
      </w:pPr>
      <w:r w:rsidRPr="00D04C75">
        <w:rPr>
          <w:lang w:val="en-GB"/>
        </w:rPr>
        <w:t>T</w:t>
      </w:r>
      <w:r w:rsidR="00971BB1" w:rsidRPr="00D04C75">
        <w:rPr>
          <w:lang w:val="en-GB"/>
        </w:rPr>
        <w:t xml:space="preserve">he Working </w:t>
      </w:r>
      <w:r w:rsidR="5C17FF9E" w:rsidRPr="00D04C75">
        <w:rPr>
          <w:lang w:val="en-GB"/>
        </w:rPr>
        <w:t>G</w:t>
      </w:r>
      <w:r w:rsidR="00971BB1" w:rsidRPr="00D04C75">
        <w:rPr>
          <w:lang w:val="en-GB"/>
        </w:rPr>
        <w:t xml:space="preserve">roup </w:t>
      </w:r>
      <w:r w:rsidR="44A20F4B" w:rsidRPr="00D04C75">
        <w:rPr>
          <w:lang w:val="en-GB"/>
        </w:rPr>
        <w:t>is relieved the report is now final. We have had</w:t>
      </w:r>
      <w:r w:rsidR="00971BB1" w:rsidRPr="00D04C75">
        <w:rPr>
          <w:lang w:val="en-GB"/>
        </w:rPr>
        <w:t xml:space="preserve"> </w:t>
      </w:r>
      <w:r w:rsidR="3E33F272" w:rsidRPr="00D04C75">
        <w:rPr>
          <w:lang w:val="en-GB"/>
        </w:rPr>
        <w:t xml:space="preserve">a </w:t>
      </w:r>
      <w:r w:rsidR="006E784E" w:rsidRPr="00D04C75">
        <w:rPr>
          <w:lang w:val="en-GB"/>
        </w:rPr>
        <w:t>gruelling few month</w:t>
      </w:r>
      <w:r w:rsidR="00CF46FA" w:rsidRPr="00D04C75">
        <w:rPr>
          <w:lang w:val="en-GB"/>
        </w:rPr>
        <w:t>s</w:t>
      </w:r>
      <w:r w:rsidR="006E784E" w:rsidRPr="00D04C75">
        <w:rPr>
          <w:lang w:val="en-GB"/>
        </w:rPr>
        <w:t xml:space="preserve"> of self-reflection/interrogation</w:t>
      </w:r>
      <w:r w:rsidR="00971BB1" w:rsidRPr="00D04C75">
        <w:rPr>
          <w:lang w:val="en-GB"/>
        </w:rPr>
        <w:t xml:space="preserve">, </w:t>
      </w:r>
      <w:r w:rsidR="00960D4C" w:rsidRPr="00D04C75">
        <w:rPr>
          <w:lang w:val="en-GB"/>
        </w:rPr>
        <w:t xml:space="preserve">conflict, </w:t>
      </w:r>
      <w:r w:rsidR="259857D7" w:rsidRPr="00D04C75">
        <w:rPr>
          <w:lang w:val="en-GB"/>
        </w:rPr>
        <w:t xml:space="preserve">challenging and </w:t>
      </w:r>
      <w:r w:rsidR="00960D4C" w:rsidRPr="00D04C75">
        <w:rPr>
          <w:lang w:val="en-GB"/>
        </w:rPr>
        <w:t xml:space="preserve">emotional conversation, trauma (for some) </w:t>
      </w:r>
      <w:r w:rsidR="00A22EBB" w:rsidRPr="00D04C75">
        <w:rPr>
          <w:lang w:val="en-GB"/>
        </w:rPr>
        <w:t>a</w:t>
      </w:r>
      <w:r w:rsidR="00744C53" w:rsidRPr="00D04C75">
        <w:rPr>
          <w:lang w:val="en-GB"/>
        </w:rPr>
        <w:t xml:space="preserve">nd </w:t>
      </w:r>
      <w:r w:rsidR="00993E13" w:rsidRPr="00D04C75">
        <w:rPr>
          <w:lang w:val="en-GB"/>
        </w:rPr>
        <w:t>question</w:t>
      </w:r>
      <w:r w:rsidR="0010320E" w:rsidRPr="00D04C75">
        <w:rPr>
          <w:lang w:val="en-GB"/>
        </w:rPr>
        <w:t>s</w:t>
      </w:r>
      <w:r w:rsidR="00993E13" w:rsidRPr="00D04C75">
        <w:rPr>
          <w:lang w:val="en-GB"/>
        </w:rPr>
        <w:t xml:space="preserve"> about</w:t>
      </w:r>
      <w:r w:rsidR="00744C53" w:rsidRPr="00D04C75">
        <w:rPr>
          <w:lang w:val="en-GB"/>
        </w:rPr>
        <w:t xml:space="preserve"> whether we would reach the end of it in one piece. </w:t>
      </w:r>
    </w:p>
    <w:p w14:paraId="67D82E98" w14:textId="5E8245EC" w:rsidR="008B0BD1" w:rsidRPr="00D04C75" w:rsidRDefault="00B11134">
      <w:pPr>
        <w:rPr>
          <w:lang w:val="en-GB"/>
        </w:rPr>
      </w:pPr>
      <w:r w:rsidRPr="00D04C75">
        <w:rPr>
          <w:lang w:val="en-GB"/>
        </w:rPr>
        <w:t xml:space="preserve">The report does not make easy reading for anyone. </w:t>
      </w:r>
      <w:r w:rsidR="00A81025" w:rsidRPr="00D04C75">
        <w:rPr>
          <w:lang w:val="en-GB"/>
        </w:rPr>
        <w:t>However,</w:t>
      </w:r>
      <w:r w:rsidR="00AC5956" w:rsidRPr="00D04C75">
        <w:rPr>
          <w:lang w:val="en-GB"/>
        </w:rPr>
        <w:t xml:space="preserve"> it is </w:t>
      </w:r>
      <w:r w:rsidR="00015FD3" w:rsidRPr="00D04C75">
        <w:rPr>
          <w:lang w:val="en-GB"/>
        </w:rPr>
        <w:t xml:space="preserve">a report that </w:t>
      </w:r>
      <w:r w:rsidR="0010320E" w:rsidRPr="00D04C75">
        <w:rPr>
          <w:lang w:val="en-GB"/>
        </w:rPr>
        <w:t>evidence</w:t>
      </w:r>
      <w:r w:rsidR="00015FD3" w:rsidRPr="00D04C75">
        <w:rPr>
          <w:lang w:val="en-GB"/>
        </w:rPr>
        <w:t xml:space="preserve"> that </w:t>
      </w:r>
      <w:r w:rsidR="00744C53" w:rsidRPr="00D04C75">
        <w:rPr>
          <w:lang w:val="en-GB"/>
        </w:rPr>
        <w:t xml:space="preserve">staff and MAs </w:t>
      </w:r>
      <w:r w:rsidR="00C41436" w:rsidRPr="00D04C75">
        <w:rPr>
          <w:lang w:val="en-GB"/>
        </w:rPr>
        <w:t xml:space="preserve">have been </w:t>
      </w:r>
      <w:r w:rsidR="00744C53" w:rsidRPr="00D04C75">
        <w:rPr>
          <w:lang w:val="en-GB"/>
        </w:rPr>
        <w:t xml:space="preserve">listened to and their </w:t>
      </w:r>
      <w:r w:rsidR="005B4CA7" w:rsidRPr="00D04C75">
        <w:rPr>
          <w:lang w:val="en-GB"/>
        </w:rPr>
        <w:t>experiences, thoughts and suggestions</w:t>
      </w:r>
      <w:r w:rsidR="00C636A6" w:rsidRPr="00D04C75">
        <w:rPr>
          <w:lang w:val="en-GB"/>
        </w:rPr>
        <w:t xml:space="preserve"> are included for us all to </w:t>
      </w:r>
      <w:r w:rsidR="009E7BF1" w:rsidRPr="00D04C75">
        <w:rPr>
          <w:lang w:val="en-GB"/>
        </w:rPr>
        <w:t xml:space="preserve">reflect on – personally and as an organisation. </w:t>
      </w:r>
    </w:p>
    <w:p w14:paraId="5DC0DD54" w14:textId="2E969681" w:rsidR="00744C53" w:rsidRPr="00D04C75" w:rsidRDefault="00744C53">
      <w:pPr>
        <w:rPr>
          <w:lang w:val="en-GB"/>
        </w:rPr>
      </w:pPr>
      <w:r w:rsidRPr="00D04C75">
        <w:rPr>
          <w:lang w:val="en-GB"/>
        </w:rPr>
        <w:t xml:space="preserve">We </w:t>
      </w:r>
      <w:r w:rsidR="00BD0F7E" w:rsidRPr="00D04C75">
        <w:rPr>
          <w:lang w:val="en-GB"/>
        </w:rPr>
        <w:t>are</w:t>
      </w:r>
      <w:r w:rsidRPr="00D04C75">
        <w:rPr>
          <w:lang w:val="en-GB"/>
        </w:rPr>
        <w:t xml:space="preserve"> </w:t>
      </w:r>
      <w:r w:rsidR="00157BEC" w:rsidRPr="00D04C75">
        <w:rPr>
          <w:lang w:val="en-GB"/>
        </w:rPr>
        <w:t xml:space="preserve">at the beginning of a </w:t>
      </w:r>
      <w:r w:rsidR="00BD0F7E" w:rsidRPr="00D04C75">
        <w:rPr>
          <w:lang w:val="en-GB"/>
        </w:rPr>
        <w:t xml:space="preserve">journey </w:t>
      </w:r>
      <w:r w:rsidR="00B40ED6" w:rsidRPr="00D04C75">
        <w:rPr>
          <w:lang w:val="en-GB"/>
        </w:rPr>
        <w:t xml:space="preserve">towards </w:t>
      </w:r>
      <w:r w:rsidR="00043FF6" w:rsidRPr="00D04C75">
        <w:rPr>
          <w:lang w:val="en-GB"/>
        </w:rPr>
        <w:t>a different future</w:t>
      </w:r>
      <w:r w:rsidR="000E5AE8" w:rsidRPr="00D04C75">
        <w:rPr>
          <w:lang w:val="en-GB"/>
        </w:rPr>
        <w:t xml:space="preserve"> for IPPF. </w:t>
      </w:r>
      <w:r w:rsidR="00BE631F" w:rsidRPr="00D04C75">
        <w:rPr>
          <w:lang w:val="en-GB"/>
        </w:rPr>
        <w:t xml:space="preserve">This is </w:t>
      </w:r>
      <w:r w:rsidR="000932E6" w:rsidRPr="00D04C75">
        <w:rPr>
          <w:lang w:val="en-GB"/>
        </w:rPr>
        <w:t xml:space="preserve">urgent but is </w:t>
      </w:r>
      <w:r w:rsidR="00BE631F" w:rsidRPr="00D04C75">
        <w:rPr>
          <w:lang w:val="en-GB"/>
        </w:rPr>
        <w:t>going to take time</w:t>
      </w:r>
      <w:r w:rsidR="003352D5" w:rsidRPr="00D04C75">
        <w:rPr>
          <w:lang w:val="en-GB"/>
        </w:rPr>
        <w:t>. W</w:t>
      </w:r>
      <w:r w:rsidR="00BE631F" w:rsidRPr="00D04C75">
        <w:rPr>
          <w:lang w:val="en-GB"/>
        </w:rPr>
        <w:t xml:space="preserve">e hope that </w:t>
      </w:r>
      <w:r w:rsidR="00635A45" w:rsidRPr="00D04C75">
        <w:rPr>
          <w:lang w:val="en-GB"/>
        </w:rPr>
        <w:t xml:space="preserve">your support </w:t>
      </w:r>
      <w:r w:rsidR="00BE631F" w:rsidRPr="00D04C75">
        <w:rPr>
          <w:lang w:val="en-GB"/>
        </w:rPr>
        <w:t xml:space="preserve">and effective </w:t>
      </w:r>
      <w:r w:rsidR="00635A45" w:rsidRPr="00D04C75">
        <w:rPr>
          <w:lang w:val="en-GB"/>
        </w:rPr>
        <w:t>IPPF leadership, w</w:t>
      </w:r>
      <w:r w:rsidR="00BE631F" w:rsidRPr="00D04C75">
        <w:rPr>
          <w:lang w:val="en-GB"/>
        </w:rPr>
        <w:t xml:space="preserve">ill </w:t>
      </w:r>
      <w:r w:rsidR="005727B8" w:rsidRPr="00D04C75">
        <w:rPr>
          <w:lang w:val="en-GB"/>
        </w:rPr>
        <w:t xml:space="preserve">facilitate </w:t>
      </w:r>
      <w:r w:rsidR="00442F7D" w:rsidRPr="00D04C75">
        <w:rPr>
          <w:lang w:val="en-GB"/>
        </w:rPr>
        <w:t xml:space="preserve">and enable the </w:t>
      </w:r>
      <w:r w:rsidR="00F67AED" w:rsidRPr="00D04C75">
        <w:rPr>
          <w:lang w:val="en-GB"/>
        </w:rPr>
        <w:t xml:space="preserve">changes </w:t>
      </w:r>
      <w:r w:rsidR="008559A7" w:rsidRPr="00D04C75">
        <w:rPr>
          <w:lang w:val="en-GB"/>
        </w:rPr>
        <w:t xml:space="preserve">to be made to create a </w:t>
      </w:r>
      <w:r w:rsidR="00635A45" w:rsidRPr="00D04C75">
        <w:rPr>
          <w:lang w:val="en-GB"/>
        </w:rPr>
        <w:t>more equitable, anti-racist organisation</w:t>
      </w:r>
      <w:r w:rsidR="003352D5" w:rsidRPr="00D04C75">
        <w:rPr>
          <w:lang w:val="en-GB"/>
        </w:rPr>
        <w:t>; o</w:t>
      </w:r>
      <w:r w:rsidR="00635A45" w:rsidRPr="00D04C75">
        <w:rPr>
          <w:lang w:val="en-GB"/>
        </w:rPr>
        <w:t xml:space="preserve">ne that </w:t>
      </w:r>
      <w:r w:rsidR="00FC645A" w:rsidRPr="00D04C75">
        <w:rPr>
          <w:lang w:val="en-GB"/>
        </w:rPr>
        <w:t>acknowledge</w:t>
      </w:r>
      <w:r w:rsidR="00440B85" w:rsidRPr="00D04C75">
        <w:rPr>
          <w:lang w:val="en-GB"/>
        </w:rPr>
        <w:t>s</w:t>
      </w:r>
      <w:r w:rsidR="00FC645A" w:rsidRPr="00D04C75">
        <w:rPr>
          <w:lang w:val="en-GB"/>
        </w:rPr>
        <w:t xml:space="preserve"> the</w:t>
      </w:r>
      <w:r w:rsidR="00440B85" w:rsidRPr="00D04C75">
        <w:rPr>
          <w:lang w:val="en-GB"/>
        </w:rPr>
        <w:t xml:space="preserve"> fear and discomfort of these</w:t>
      </w:r>
      <w:r w:rsidR="00635A45" w:rsidRPr="00D04C75">
        <w:rPr>
          <w:lang w:val="en-GB"/>
        </w:rPr>
        <w:t xml:space="preserve"> conversations, yet </w:t>
      </w:r>
      <w:r w:rsidR="002C0430" w:rsidRPr="00D04C75">
        <w:rPr>
          <w:lang w:val="en-GB"/>
        </w:rPr>
        <w:t xml:space="preserve">is </w:t>
      </w:r>
      <w:r w:rsidR="00635A45" w:rsidRPr="00D04C75">
        <w:rPr>
          <w:lang w:val="en-GB"/>
        </w:rPr>
        <w:t xml:space="preserve">brave enough to </w:t>
      </w:r>
      <w:r w:rsidR="009D4E40" w:rsidRPr="00D04C75">
        <w:rPr>
          <w:lang w:val="en-GB"/>
        </w:rPr>
        <w:t xml:space="preserve">have them and do the work required. </w:t>
      </w:r>
    </w:p>
    <w:p w14:paraId="0E1399D7" w14:textId="68ED4FF9" w:rsidR="0051506A" w:rsidRPr="00D04C75" w:rsidRDefault="004A171C">
      <w:pPr>
        <w:rPr>
          <w:lang w:val="en-GB"/>
        </w:rPr>
      </w:pPr>
      <w:r w:rsidRPr="00D04C75">
        <w:rPr>
          <w:lang w:val="en-GB"/>
        </w:rPr>
        <w:t>Our commitment to IPPF is to</w:t>
      </w:r>
      <w:r w:rsidR="0010320E" w:rsidRPr="00D04C75">
        <w:rPr>
          <w:lang w:val="en-GB"/>
        </w:rPr>
        <w:t xml:space="preserve"> </w:t>
      </w:r>
      <w:r w:rsidRPr="00D04C75">
        <w:t xml:space="preserve">see this through, to ensure that </w:t>
      </w:r>
      <w:r w:rsidR="005338A7" w:rsidRPr="00D04C75">
        <w:t xml:space="preserve">the </w:t>
      </w:r>
      <w:r w:rsidRPr="00D04C75">
        <w:t xml:space="preserve">voices that have spoken </w:t>
      </w:r>
      <w:r w:rsidR="00027FA3" w:rsidRPr="00D04C75">
        <w:t xml:space="preserve">have been heard </w:t>
      </w:r>
      <w:r w:rsidR="00831084" w:rsidRPr="00D04C75">
        <w:rPr>
          <w:i/>
          <w:iCs/>
        </w:rPr>
        <w:t xml:space="preserve">and </w:t>
      </w:r>
      <w:r w:rsidRPr="00D04C75">
        <w:t>listened to</w:t>
      </w:r>
      <w:r w:rsidR="00227DF9" w:rsidRPr="00D04C75">
        <w:t>, t</w:t>
      </w:r>
      <w:r w:rsidR="0027340D" w:rsidRPr="00D04C75">
        <w:t xml:space="preserve">heir experiences acknowledged and </w:t>
      </w:r>
      <w:r w:rsidR="009B0F8A" w:rsidRPr="00D04C75">
        <w:t>addressed</w:t>
      </w:r>
      <w:r w:rsidR="00761DA7" w:rsidRPr="00D04C75">
        <w:t xml:space="preserve">; and </w:t>
      </w:r>
      <w:r w:rsidR="0027340D" w:rsidRPr="00D04C75">
        <w:t xml:space="preserve">dismantle the architecture that </w:t>
      </w:r>
      <w:r w:rsidR="009E2E5F" w:rsidRPr="00D04C75">
        <w:t xml:space="preserve">underpins and </w:t>
      </w:r>
      <w:r w:rsidR="00B25512" w:rsidRPr="00D04C75">
        <w:t xml:space="preserve">facilitates </w:t>
      </w:r>
      <w:r w:rsidR="009C76E9" w:rsidRPr="00D04C75">
        <w:t xml:space="preserve">racism </w:t>
      </w:r>
      <w:r w:rsidR="00B25512" w:rsidRPr="00D04C75">
        <w:t xml:space="preserve">in our </w:t>
      </w:r>
      <w:r w:rsidR="0010320E" w:rsidRPr="00D04C75">
        <w:t>organization</w:t>
      </w:r>
      <w:r w:rsidR="00B25512" w:rsidRPr="00D04C75">
        <w:t xml:space="preserve"> </w:t>
      </w:r>
      <w:r w:rsidR="0088411B" w:rsidRPr="00D04C75">
        <w:t>and create a zero-tolerance, learning organi</w:t>
      </w:r>
      <w:r w:rsidR="00A54EE4">
        <w:t>z</w:t>
      </w:r>
      <w:r w:rsidR="0088411B" w:rsidRPr="00D04C75">
        <w:t>ation</w:t>
      </w:r>
      <w:r w:rsidR="00CF48DF" w:rsidRPr="00D04C75">
        <w:t xml:space="preserve"> that moves towards becoming an ex</w:t>
      </w:r>
      <w:r w:rsidR="00E44F5C" w:rsidRPr="00D04C75">
        <w:t xml:space="preserve">emplar employer that everyone is happy and proud </w:t>
      </w:r>
      <w:r w:rsidR="00B46B0D" w:rsidRPr="00D04C75">
        <w:t>to work for</w:t>
      </w:r>
      <w:r w:rsidR="00E04745" w:rsidRPr="00D04C75">
        <w:t>.</w:t>
      </w:r>
    </w:p>
    <w:p w14:paraId="51698742" w14:textId="7F9EAC55" w:rsidR="0010320E" w:rsidRDefault="0010320E">
      <w:pPr>
        <w:rPr>
          <w:b/>
          <w:bCs/>
          <w:sz w:val="28"/>
          <w:szCs w:val="28"/>
          <w:lang w:val="en-GB"/>
        </w:rPr>
      </w:pPr>
    </w:p>
    <w:p w14:paraId="7EFD99FB" w14:textId="15D06564" w:rsidR="00A54EE4" w:rsidRDefault="00A54EE4" w:rsidP="00F90A26">
      <w:pPr>
        <w:pStyle w:val="ListParagraph"/>
        <w:numPr>
          <w:ilvl w:val="0"/>
          <w:numId w:val="6"/>
        </w:numPr>
        <w:rPr>
          <w:b/>
          <w:bCs/>
          <w:sz w:val="28"/>
          <w:szCs w:val="28"/>
        </w:rPr>
      </w:pPr>
      <w:r w:rsidRPr="00F90A26">
        <w:rPr>
          <w:b/>
          <w:bCs/>
          <w:sz w:val="28"/>
          <w:szCs w:val="28"/>
        </w:rPr>
        <w:br w:type="page"/>
      </w:r>
      <w:r w:rsidR="00F90A26" w:rsidRPr="00F90A26">
        <w:rPr>
          <w:b/>
          <w:bCs/>
          <w:sz w:val="28"/>
          <w:szCs w:val="28"/>
        </w:rPr>
        <w:lastRenderedPageBreak/>
        <w:t>Creation of the BoT subcommittee</w:t>
      </w:r>
    </w:p>
    <w:p w14:paraId="76CE7D59" w14:textId="58ED3193" w:rsidR="00F90A26" w:rsidRDefault="00F90A26" w:rsidP="00F90A26">
      <w:pPr>
        <w:pStyle w:val="ListParagraph"/>
        <w:numPr>
          <w:ilvl w:val="0"/>
          <w:numId w:val="6"/>
        </w:numPr>
        <w:rPr>
          <w:b/>
          <w:bCs/>
          <w:sz w:val="28"/>
          <w:szCs w:val="28"/>
        </w:rPr>
      </w:pPr>
      <w:r>
        <w:rPr>
          <w:b/>
          <w:bCs/>
          <w:sz w:val="28"/>
          <w:szCs w:val="28"/>
        </w:rPr>
        <w:t xml:space="preserve">Public statement of </w:t>
      </w:r>
      <w:r w:rsidR="00192B1A">
        <w:rPr>
          <w:b/>
          <w:bCs/>
          <w:sz w:val="28"/>
          <w:szCs w:val="28"/>
        </w:rPr>
        <w:t>recognition</w:t>
      </w:r>
    </w:p>
    <w:p w14:paraId="242BFE1A" w14:textId="1E93B12A" w:rsidR="00F90A26" w:rsidRDefault="00F90A26" w:rsidP="00F90A26">
      <w:pPr>
        <w:pStyle w:val="ListParagraph"/>
        <w:numPr>
          <w:ilvl w:val="0"/>
          <w:numId w:val="6"/>
        </w:numPr>
        <w:rPr>
          <w:b/>
          <w:bCs/>
          <w:sz w:val="28"/>
          <w:szCs w:val="28"/>
        </w:rPr>
      </w:pPr>
      <w:r>
        <w:rPr>
          <w:b/>
          <w:bCs/>
          <w:sz w:val="28"/>
          <w:szCs w:val="28"/>
        </w:rPr>
        <w:t xml:space="preserve">Oversight of the DG </w:t>
      </w:r>
    </w:p>
    <w:p w14:paraId="23006D27" w14:textId="63730851" w:rsidR="00192B1A" w:rsidRPr="00F90A26" w:rsidRDefault="00192B1A" w:rsidP="00F90A26">
      <w:pPr>
        <w:pStyle w:val="ListParagraph"/>
        <w:numPr>
          <w:ilvl w:val="0"/>
          <w:numId w:val="6"/>
        </w:numPr>
        <w:rPr>
          <w:b/>
          <w:bCs/>
          <w:sz w:val="28"/>
          <w:szCs w:val="28"/>
        </w:rPr>
      </w:pPr>
      <w:r>
        <w:rPr>
          <w:b/>
          <w:bCs/>
          <w:sz w:val="28"/>
          <w:szCs w:val="28"/>
        </w:rPr>
        <w:t>By November 2022</w:t>
      </w:r>
    </w:p>
    <w:p w14:paraId="3A3D9A2A" w14:textId="77777777" w:rsidR="00F90A26" w:rsidRPr="00D04C75" w:rsidRDefault="00F90A26">
      <w:pPr>
        <w:rPr>
          <w:b/>
          <w:bCs/>
          <w:sz w:val="28"/>
          <w:szCs w:val="28"/>
          <w:lang w:val="en-GB"/>
        </w:rPr>
      </w:pPr>
    </w:p>
    <w:p w14:paraId="18CEF87B" w14:textId="210FA30B" w:rsidR="00D26EBE" w:rsidRPr="00D04C75" w:rsidRDefault="0010320E">
      <w:pPr>
        <w:rPr>
          <w:b/>
          <w:bCs/>
          <w:sz w:val="28"/>
          <w:szCs w:val="28"/>
          <w:lang w:val="en-GB"/>
        </w:rPr>
      </w:pPr>
      <w:r w:rsidRPr="00D04C75">
        <w:rPr>
          <w:b/>
          <w:bCs/>
          <w:sz w:val="28"/>
          <w:szCs w:val="28"/>
          <w:lang w:val="en-GB"/>
        </w:rPr>
        <w:t xml:space="preserve">Management </w:t>
      </w:r>
      <w:r w:rsidR="00D26EBE" w:rsidRPr="00D04C75">
        <w:rPr>
          <w:b/>
          <w:bCs/>
          <w:sz w:val="28"/>
          <w:szCs w:val="28"/>
          <w:lang w:val="en-GB"/>
        </w:rPr>
        <w:t xml:space="preserve">Response to </w:t>
      </w:r>
      <w:r w:rsidRPr="00D04C75">
        <w:rPr>
          <w:b/>
          <w:bCs/>
          <w:sz w:val="28"/>
          <w:szCs w:val="28"/>
          <w:lang w:val="en-GB"/>
        </w:rPr>
        <w:t xml:space="preserve">the </w:t>
      </w:r>
      <w:r w:rsidR="00D26EBE" w:rsidRPr="00D04C75">
        <w:rPr>
          <w:b/>
          <w:bCs/>
          <w:sz w:val="28"/>
          <w:szCs w:val="28"/>
          <w:lang w:val="en-GB"/>
        </w:rPr>
        <w:t>Recommendations</w:t>
      </w:r>
    </w:p>
    <w:tbl>
      <w:tblPr>
        <w:tblStyle w:val="TableGrid"/>
        <w:tblW w:w="0" w:type="auto"/>
        <w:tblInd w:w="137" w:type="dxa"/>
        <w:tblLook w:val="04A0" w:firstRow="1" w:lastRow="0" w:firstColumn="1" w:lastColumn="0" w:noHBand="0" w:noVBand="1"/>
      </w:tblPr>
      <w:tblGrid>
        <w:gridCol w:w="425"/>
        <w:gridCol w:w="7221"/>
        <w:gridCol w:w="1233"/>
      </w:tblGrid>
      <w:tr w:rsidR="00D04C75" w:rsidRPr="00D04C75" w14:paraId="1681DDD9" w14:textId="77777777" w:rsidTr="006A2CFF">
        <w:tc>
          <w:tcPr>
            <w:tcW w:w="425" w:type="dxa"/>
            <w:tcBorders>
              <w:top w:val="single" w:sz="4" w:space="0" w:color="auto"/>
              <w:left w:val="single" w:sz="4" w:space="0" w:color="auto"/>
              <w:bottom w:val="single" w:sz="4" w:space="0" w:color="auto"/>
              <w:right w:val="single" w:sz="4" w:space="0" w:color="auto"/>
            </w:tcBorders>
          </w:tcPr>
          <w:p w14:paraId="6960FC03" w14:textId="77777777" w:rsidR="004829A9" w:rsidRPr="00D04C75" w:rsidRDefault="004829A9" w:rsidP="00D716CC">
            <w:pPr>
              <w:pStyle w:val="ListParagraph"/>
              <w:numPr>
                <w:ilvl w:val="0"/>
                <w:numId w:val="3"/>
              </w:numPr>
              <w:spacing w:before="60"/>
              <w:ind w:left="0" w:firstLine="0"/>
              <w:contextualSpacing w:val="0"/>
            </w:pPr>
          </w:p>
        </w:tc>
        <w:tc>
          <w:tcPr>
            <w:tcW w:w="7221" w:type="dxa"/>
            <w:tcBorders>
              <w:top w:val="single" w:sz="4" w:space="0" w:color="auto"/>
              <w:left w:val="single" w:sz="4" w:space="0" w:color="auto"/>
              <w:bottom w:val="single" w:sz="4" w:space="0" w:color="auto"/>
              <w:right w:val="single" w:sz="4" w:space="0" w:color="auto"/>
            </w:tcBorders>
            <w:hideMark/>
          </w:tcPr>
          <w:p w14:paraId="48B0E3CB" w14:textId="38C4407C" w:rsidR="004829A9" w:rsidRPr="00D04C75" w:rsidRDefault="004829A9" w:rsidP="00D716CC">
            <w:pPr>
              <w:spacing w:before="60"/>
              <w:rPr>
                <w:b/>
                <w:bCs/>
              </w:rPr>
            </w:pPr>
            <w:r w:rsidRPr="00D04C75">
              <w:rPr>
                <w:b/>
                <w:bCs/>
              </w:rPr>
              <w:t xml:space="preserve">Create </w:t>
            </w:r>
            <w:r w:rsidR="00DF710C" w:rsidRPr="00D04C75">
              <w:rPr>
                <w:b/>
                <w:bCs/>
              </w:rPr>
              <w:t xml:space="preserve">a </w:t>
            </w:r>
            <w:r w:rsidRPr="00D04C75">
              <w:rPr>
                <w:b/>
                <w:bCs/>
              </w:rPr>
              <w:t>Board</w:t>
            </w:r>
            <w:r w:rsidR="00DF710C" w:rsidRPr="00D04C75">
              <w:rPr>
                <w:b/>
                <w:bCs/>
              </w:rPr>
              <w:t>&lt;&gt;M</w:t>
            </w:r>
            <w:r w:rsidRPr="00D04C75">
              <w:rPr>
                <w:b/>
                <w:bCs/>
              </w:rPr>
              <w:t xml:space="preserve">anagement committee </w:t>
            </w:r>
          </w:p>
          <w:p w14:paraId="7947FC8C" w14:textId="64A878FA" w:rsidR="00FB1899" w:rsidRPr="00D04C75" w:rsidRDefault="00FB1899" w:rsidP="00D716CC">
            <w:pPr>
              <w:spacing w:before="60"/>
            </w:pPr>
            <w:r w:rsidRPr="00D04C75">
              <w:t>Maintaining governance and management responsibilities</w:t>
            </w:r>
            <w:r w:rsidR="00DF710C" w:rsidRPr="00D04C75">
              <w:t>, and ensuring roles</w:t>
            </w:r>
            <w:r w:rsidRPr="00D04C75">
              <w:t xml:space="preserve"> </w:t>
            </w:r>
            <w:r w:rsidR="00DF710C" w:rsidRPr="00D04C75">
              <w:t xml:space="preserve">are </w:t>
            </w:r>
            <w:r w:rsidRPr="00D04C75">
              <w:t>well delineated, as we have done with other critical projects (governance reform, WHR separation, judicial review).</w:t>
            </w:r>
          </w:p>
          <w:p w14:paraId="6E4A8FE2" w14:textId="6FEE9A0F" w:rsidR="004829A9" w:rsidRPr="00D04C75" w:rsidRDefault="004829A9" w:rsidP="00D716CC">
            <w:pPr>
              <w:spacing w:before="60"/>
            </w:pPr>
            <w:r w:rsidRPr="00D04C75">
              <w:t xml:space="preserve">1.1. </w:t>
            </w:r>
            <w:r w:rsidR="00F91342" w:rsidRPr="00D04C75">
              <w:t xml:space="preserve">Creation of a board </w:t>
            </w:r>
            <w:r w:rsidRPr="00D04C75">
              <w:t>oversight committee</w:t>
            </w:r>
            <w:r w:rsidR="00612F98" w:rsidRPr="00D04C75">
              <w:t xml:space="preserve">. </w:t>
            </w:r>
            <w:r w:rsidRPr="00D04C75">
              <w:t xml:space="preserve">Composition and draft </w:t>
            </w:r>
            <w:proofErr w:type="spellStart"/>
            <w:r w:rsidRPr="00D04C75">
              <w:t>ToR</w:t>
            </w:r>
            <w:proofErr w:type="spellEnd"/>
            <w:r w:rsidRPr="00D04C75">
              <w:t xml:space="preserve"> proposed.</w:t>
            </w:r>
          </w:p>
          <w:p w14:paraId="3400CF27" w14:textId="23494309" w:rsidR="00423073" w:rsidRPr="00D04C75" w:rsidRDefault="004C1F19" w:rsidP="00D716CC">
            <w:pPr>
              <w:spacing w:before="60"/>
            </w:pPr>
            <w:r w:rsidRPr="00D04C75">
              <w:t>1</w:t>
            </w:r>
            <w:r w:rsidR="004829A9" w:rsidRPr="00D04C75">
              <w:t xml:space="preserve">.2. </w:t>
            </w:r>
            <w:r w:rsidR="00D716CC" w:rsidRPr="00D04C75">
              <w:t xml:space="preserve">DG to re-launch </w:t>
            </w:r>
            <w:r w:rsidR="008B7F68" w:rsidRPr="00D04C75">
              <w:t xml:space="preserve">Anti-Racism </w:t>
            </w:r>
            <w:r w:rsidR="03C23451" w:rsidRPr="00D04C75">
              <w:t>W</w:t>
            </w:r>
            <w:r w:rsidR="004829A9" w:rsidRPr="00D04C75">
              <w:t xml:space="preserve">orking </w:t>
            </w:r>
            <w:r w:rsidR="48374293" w:rsidRPr="00D04C75">
              <w:t>G</w:t>
            </w:r>
            <w:r w:rsidR="004829A9" w:rsidRPr="00D04C75">
              <w:t>roup</w:t>
            </w:r>
            <w:r w:rsidR="123ABD81" w:rsidRPr="00D04C75">
              <w:t xml:space="preserve"> (ARWG)</w:t>
            </w:r>
            <w:r w:rsidR="004829A9" w:rsidRPr="00D04C75">
              <w:t>.</w:t>
            </w:r>
            <w:r w:rsidR="004C5D88" w:rsidRPr="00D04C75">
              <w:t xml:space="preserve"> Expand</w:t>
            </w:r>
            <w:r w:rsidR="008B7F68" w:rsidRPr="00D04C75">
              <w:t xml:space="preserve"> the </w:t>
            </w:r>
            <w:r w:rsidR="2DCBD52E" w:rsidRPr="00D04C75">
              <w:t>ARWG</w:t>
            </w:r>
            <w:r w:rsidR="008B7F68" w:rsidRPr="00D04C75">
              <w:t xml:space="preserve"> to include members from all regions and </w:t>
            </w:r>
            <w:r w:rsidR="004C5D88" w:rsidRPr="00D04C75">
              <w:t xml:space="preserve">allow </w:t>
            </w:r>
            <w:r w:rsidR="008B7F68" w:rsidRPr="00D04C75">
              <w:t>existing members</w:t>
            </w:r>
            <w:r w:rsidR="004C5D88" w:rsidRPr="00D04C75">
              <w:t xml:space="preserve"> to determine </w:t>
            </w:r>
            <w:proofErr w:type="gramStart"/>
            <w:r w:rsidR="004C5D88" w:rsidRPr="00D04C75">
              <w:t>whether or not</w:t>
            </w:r>
            <w:proofErr w:type="gramEnd"/>
            <w:r w:rsidR="004C5D88" w:rsidRPr="00D04C75">
              <w:t xml:space="preserve"> they </w:t>
            </w:r>
            <w:r w:rsidR="008B7F68" w:rsidRPr="00D04C75">
              <w:t xml:space="preserve">would </w:t>
            </w:r>
            <w:r w:rsidR="004C5D88" w:rsidRPr="00D04C75">
              <w:t xml:space="preserve">want to continue. </w:t>
            </w:r>
            <w:r w:rsidR="008B7F68" w:rsidRPr="00D04C75">
              <w:t xml:space="preserve">The expanded </w:t>
            </w:r>
            <w:r w:rsidR="62EF211A" w:rsidRPr="00D04C75">
              <w:t>ARWG</w:t>
            </w:r>
            <w:r w:rsidR="008B7F68" w:rsidRPr="00D04C75">
              <w:t xml:space="preserve"> will not include </w:t>
            </w:r>
            <w:r w:rsidR="004C5D88" w:rsidRPr="00D04C75">
              <w:t xml:space="preserve">DLT members. </w:t>
            </w:r>
            <w:r w:rsidR="008B7F68" w:rsidRPr="00D04C75">
              <w:t xml:space="preserve">The working group will </w:t>
            </w:r>
            <w:r w:rsidR="00E06498" w:rsidRPr="00D04C75">
              <w:t>be supported by expertise in the form of consultants</w:t>
            </w:r>
            <w:r w:rsidR="00D04C75">
              <w:t>.</w:t>
            </w:r>
            <w:r w:rsidR="004C5D88" w:rsidRPr="00D04C75">
              <w:t xml:space="preserve"> </w:t>
            </w:r>
          </w:p>
          <w:p w14:paraId="45D72795" w14:textId="37A20C0D" w:rsidR="004829A9" w:rsidRPr="00D04C75" w:rsidRDefault="00423073" w:rsidP="00D716CC">
            <w:pPr>
              <w:spacing w:before="60"/>
            </w:pPr>
            <w:r w:rsidRPr="00D04C75">
              <w:t xml:space="preserve">1.3. </w:t>
            </w:r>
            <w:r w:rsidR="76863EDE" w:rsidRPr="00D04C75">
              <w:t xml:space="preserve">Create </w:t>
            </w:r>
            <w:r w:rsidR="3506ADAE" w:rsidRPr="00D04C75">
              <w:t xml:space="preserve">and embed a </w:t>
            </w:r>
            <w:r w:rsidR="00335721" w:rsidRPr="00D04C75">
              <w:t>systemic link</w:t>
            </w:r>
            <w:r w:rsidR="00B77FFB" w:rsidRPr="00D04C75">
              <w:t xml:space="preserve"> </w:t>
            </w:r>
            <w:r w:rsidR="2C12EBDA" w:rsidRPr="00D04C75">
              <w:t xml:space="preserve">between this work, </w:t>
            </w:r>
            <w:r w:rsidR="00B77FFB" w:rsidRPr="00D04C75">
              <w:t xml:space="preserve">POC and </w:t>
            </w:r>
            <w:r w:rsidR="0EA85C14" w:rsidRPr="00D04C75">
              <w:t xml:space="preserve">the </w:t>
            </w:r>
            <w:r w:rsidR="004C5D88" w:rsidRPr="00D04C75">
              <w:t>Gender</w:t>
            </w:r>
            <w:r w:rsidR="0010320E" w:rsidRPr="00D04C75">
              <w:t xml:space="preserve"> Steering</w:t>
            </w:r>
            <w:r w:rsidR="004C5D88" w:rsidRPr="00D04C75">
              <w:t xml:space="preserve"> </w:t>
            </w:r>
            <w:r w:rsidR="0010320E" w:rsidRPr="00D04C75">
              <w:t>G</w:t>
            </w:r>
            <w:r w:rsidR="00B77FFB" w:rsidRPr="00D04C75">
              <w:t>roup</w:t>
            </w:r>
            <w:r w:rsidR="002A6882" w:rsidRPr="00D04C75">
              <w:t xml:space="preserve"> through transition</w:t>
            </w:r>
            <w:r w:rsidR="00D04C75">
              <w:t>.</w:t>
            </w:r>
          </w:p>
        </w:tc>
        <w:tc>
          <w:tcPr>
            <w:tcW w:w="1233" w:type="dxa"/>
            <w:tcBorders>
              <w:top w:val="single" w:sz="4" w:space="0" w:color="auto"/>
              <w:left w:val="single" w:sz="4" w:space="0" w:color="auto"/>
              <w:bottom w:val="single" w:sz="4" w:space="0" w:color="auto"/>
              <w:right w:val="single" w:sz="4" w:space="0" w:color="auto"/>
            </w:tcBorders>
          </w:tcPr>
          <w:p w14:paraId="7A43BA2E" w14:textId="77777777" w:rsidR="00D35B06" w:rsidRPr="00D04C75" w:rsidRDefault="00D35B06" w:rsidP="00D716CC">
            <w:pPr>
              <w:spacing w:before="60"/>
            </w:pPr>
          </w:p>
          <w:p w14:paraId="7D8549C9" w14:textId="63FC42C6" w:rsidR="0086509D" w:rsidRPr="00D04C75" w:rsidRDefault="0086509D" w:rsidP="00D716CC">
            <w:pPr>
              <w:spacing w:before="60"/>
            </w:pPr>
            <w:proofErr w:type="spellStart"/>
            <w:r w:rsidRPr="00D04C75">
              <w:t>BoTC</w:t>
            </w:r>
            <w:proofErr w:type="spellEnd"/>
            <w:r w:rsidR="00612F98" w:rsidRPr="00D04C75">
              <w:t xml:space="preserve"> with</w:t>
            </w:r>
          </w:p>
          <w:p w14:paraId="6A1656A5" w14:textId="5C56804F" w:rsidR="004829A9" w:rsidRPr="00D04C75" w:rsidRDefault="004829A9" w:rsidP="00D716CC">
            <w:pPr>
              <w:spacing w:before="60"/>
            </w:pPr>
            <w:r w:rsidRPr="00D04C75">
              <w:t>DGO / PM</w:t>
            </w:r>
          </w:p>
          <w:p w14:paraId="7606D7C6" w14:textId="77777777" w:rsidR="004829A9" w:rsidRPr="00D04C75" w:rsidRDefault="004829A9" w:rsidP="00D716CC">
            <w:pPr>
              <w:spacing w:before="60"/>
            </w:pPr>
          </w:p>
          <w:p w14:paraId="7F90ACFA" w14:textId="77777777" w:rsidR="004829A9" w:rsidRPr="00D04C75" w:rsidRDefault="004829A9" w:rsidP="00D716CC">
            <w:pPr>
              <w:spacing w:before="60"/>
            </w:pPr>
          </w:p>
          <w:p w14:paraId="06200C3B" w14:textId="77777777" w:rsidR="004829A9" w:rsidRPr="00D04C75" w:rsidRDefault="004829A9" w:rsidP="00D716CC">
            <w:pPr>
              <w:spacing w:before="60"/>
            </w:pPr>
            <w:r w:rsidRPr="00D04C75">
              <w:t>DG / DLT</w:t>
            </w:r>
          </w:p>
        </w:tc>
      </w:tr>
      <w:tr w:rsidR="00D04C75" w:rsidRPr="00D04C75" w14:paraId="2D7A4FBE" w14:textId="77777777" w:rsidTr="006A2CFF">
        <w:tc>
          <w:tcPr>
            <w:tcW w:w="425" w:type="dxa"/>
            <w:tcBorders>
              <w:top w:val="single" w:sz="4" w:space="0" w:color="auto"/>
              <w:left w:val="single" w:sz="4" w:space="0" w:color="auto"/>
              <w:bottom w:val="single" w:sz="4" w:space="0" w:color="auto"/>
              <w:right w:val="single" w:sz="4" w:space="0" w:color="auto"/>
            </w:tcBorders>
          </w:tcPr>
          <w:p w14:paraId="0F2879F8" w14:textId="77777777" w:rsidR="004829A9" w:rsidRPr="00D04C75" w:rsidRDefault="004829A9" w:rsidP="00D716CC">
            <w:pPr>
              <w:pStyle w:val="ListParagraph"/>
              <w:numPr>
                <w:ilvl w:val="0"/>
                <w:numId w:val="3"/>
              </w:numPr>
              <w:spacing w:before="60"/>
              <w:ind w:left="0" w:firstLine="0"/>
              <w:contextualSpacing w:val="0"/>
            </w:pPr>
          </w:p>
        </w:tc>
        <w:tc>
          <w:tcPr>
            <w:tcW w:w="7221" w:type="dxa"/>
            <w:tcBorders>
              <w:top w:val="single" w:sz="4" w:space="0" w:color="auto"/>
              <w:left w:val="single" w:sz="4" w:space="0" w:color="auto"/>
              <w:bottom w:val="single" w:sz="4" w:space="0" w:color="auto"/>
              <w:right w:val="single" w:sz="4" w:space="0" w:color="auto"/>
            </w:tcBorders>
            <w:hideMark/>
          </w:tcPr>
          <w:p w14:paraId="1EDBD20C" w14:textId="2E81757B" w:rsidR="004829A9" w:rsidRPr="00D04C75" w:rsidRDefault="004829A9" w:rsidP="00D716CC">
            <w:pPr>
              <w:spacing w:before="60"/>
              <w:rPr>
                <w:b/>
                <w:bCs/>
              </w:rPr>
            </w:pPr>
            <w:r w:rsidRPr="00D04C75">
              <w:rPr>
                <w:b/>
                <w:bCs/>
              </w:rPr>
              <w:t>Anti-racism training</w:t>
            </w:r>
            <w:r w:rsidR="00C02F40" w:rsidRPr="00D04C75">
              <w:rPr>
                <w:b/>
                <w:bCs/>
              </w:rPr>
              <w:t xml:space="preserve"> </w:t>
            </w:r>
          </w:p>
          <w:p w14:paraId="3784BBA9" w14:textId="4F156335" w:rsidR="00C02F40" w:rsidRPr="00D04C75" w:rsidRDefault="00C02F40" w:rsidP="00D716CC">
            <w:pPr>
              <w:spacing w:before="60"/>
            </w:pPr>
            <w:r w:rsidRPr="00D04C75">
              <w:t>W</w:t>
            </w:r>
            <w:r w:rsidR="00E917E8" w:rsidRPr="00D04C75">
              <w:t>e must a</w:t>
            </w:r>
            <w:r w:rsidR="00C5033B" w:rsidRPr="00D04C75">
              <w:t xml:space="preserve">lign with the thinking towards a </w:t>
            </w:r>
            <w:r w:rsidRPr="00D04C75">
              <w:t xml:space="preserve">unified </w:t>
            </w:r>
            <w:r w:rsidR="00DF710C" w:rsidRPr="00D04C75">
              <w:t>S</w:t>
            </w:r>
            <w:r w:rsidRPr="00D04C75">
              <w:t>ec</w:t>
            </w:r>
            <w:r w:rsidR="00C5033B" w:rsidRPr="00D04C75">
              <w:t xml:space="preserve">retariat while recognising </w:t>
            </w:r>
            <w:r w:rsidR="00BE7F1A" w:rsidRPr="00D04C75">
              <w:t>j</w:t>
            </w:r>
            <w:r w:rsidRPr="00D04C75">
              <w:t>urisdiction and cultural diff</w:t>
            </w:r>
            <w:r w:rsidR="00BE7F1A" w:rsidRPr="00D04C75">
              <w:t>erences</w:t>
            </w:r>
            <w:r w:rsidRPr="00D04C75">
              <w:t xml:space="preserve">. </w:t>
            </w:r>
          </w:p>
          <w:p w14:paraId="7215DD9D" w14:textId="028BB630" w:rsidR="004829A9" w:rsidRPr="00D04C75" w:rsidRDefault="004829A9" w:rsidP="00D716CC">
            <w:pPr>
              <w:spacing w:before="60"/>
            </w:pPr>
            <w:r w:rsidRPr="00D04C75">
              <w:t xml:space="preserve">2.1. </w:t>
            </w:r>
            <w:r w:rsidR="0076261C" w:rsidRPr="00D04C75">
              <w:t>Create</w:t>
            </w:r>
            <w:r w:rsidRPr="00D04C75">
              <w:t xml:space="preserve"> one bespoke </w:t>
            </w:r>
            <w:r w:rsidR="0076261C" w:rsidRPr="00D04C75">
              <w:t xml:space="preserve">core </w:t>
            </w:r>
            <w:r w:rsidRPr="00D04C75">
              <w:t>prog</w:t>
            </w:r>
            <w:r w:rsidR="0076261C" w:rsidRPr="00D04C75">
              <w:t>ramme</w:t>
            </w:r>
            <w:r w:rsidRPr="00D04C75">
              <w:t xml:space="preserve"> for all staff </w:t>
            </w:r>
            <w:r w:rsidR="0076261C" w:rsidRPr="00D04C75">
              <w:t xml:space="preserve">across the Secretariat </w:t>
            </w:r>
            <w:r w:rsidRPr="00D04C75">
              <w:t>with one (virtual) provider</w:t>
            </w:r>
            <w:r w:rsidR="00436705" w:rsidRPr="00D04C75">
              <w:t>, with the possibility of specific regional ‘add on’ modules.</w:t>
            </w:r>
          </w:p>
          <w:p w14:paraId="4BE3C646" w14:textId="5E5E0944" w:rsidR="004829A9" w:rsidRPr="00D04C75" w:rsidRDefault="004829A9" w:rsidP="00D716CC">
            <w:pPr>
              <w:spacing w:before="60"/>
            </w:pPr>
            <w:r w:rsidRPr="00D04C75">
              <w:t xml:space="preserve">2.2. Create a subset </w:t>
            </w:r>
            <w:r w:rsidR="00697E00" w:rsidRPr="00D04C75">
              <w:t xml:space="preserve">of training </w:t>
            </w:r>
            <w:r w:rsidRPr="00D04C75">
              <w:t>for leadership / management</w:t>
            </w:r>
            <w:r w:rsidR="0045518F" w:rsidRPr="00D04C75">
              <w:t xml:space="preserve"> with the aim of building leaders that act with</w:t>
            </w:r>
            <w:r w:rsidRPr="00D04C75">
              <w:t xml:space="preserve"> humility and open minds.</w:t>
            </w:r>
          </w:p>
          <w:p w14:paraId="7C3A372E" w14:textId="4C40EE60" w:rsidR="004829A9" w:rsidRPr="00D04C75" w:rsidRDefault="004829A9" w:rsidP="00D716CC">
            <w:pPr>
              <w:spacing w:before="60"/>
            </w:pPr>
            <w:r w:rsidRPr="00D04C75">
              <w:t>2.3. Prioritis</w:t>
            </w:r>
            <w:r w:rsidR="00E917E8" w:rsidRPr="00D04C75">
              <w:t xml:space="preserve">e with an anti-racism / anti-colonial mindset </w:t>
            </w:r>
            <w:r w:rsidRPr="00D04C75">
              <w:t xml:space="preserve">for </w:t>
            </w:r>
            <w:r w:rsidR="0023547C" w:rsidRPr="00D04C75">
              <w:t>a</w:t>
            </w:r>
            <w:r w:rsidRPr="00D04C75">
              <w:t xml:space="preserve"> leadership development programme</w:t>
            </w:r>
            <w:r w:rsidR="00DF710C" w:rsidRPr="00D04C75">
              <w:t>.</w:t>
            </w:r>
          </w:p>
        </w:tc>
        <w:tc>
          <w:tcPr>
            <w:tcW w:w="1233" w:type="dxa"/>
            <w:tcBorders>
              <w:top w:val="single" w:sz="4" w:space="0" w:color="auto"/>
              <w:left w:val="single" w:sz="4" w:space="0" w:color="auto"/>
              <w:bottom w:val="single" w:sz="4" w:space="0" w:color="auto"/>
              <w:right w:val="single" w:sz="4" w:space="0" w:color="auto"/>
            </w:tcBorders>
          </w:tcPr>
          <w:p w14:paraId="6063D20D" w14:textId="77777777" w:rsidR="004829A9" w:rsidRPr="00D04C75" w:rsidRDefault="004829A9" w:rsidP="00D716CC">
            <w:pPr>
              <w:spacing w:before="60"/>
            </w:pPr>
          </w:p>
          <w:p w14:paraId="3CB4B1FD" w14:textId="77777777" w:rsidR="000C51A6" w:rsidRPr="00D04C75" w:rsidRDefault="000C51A6" w:rsidP="00D716CC">
            <w:pPr>
              <w:spacing w:before="60"/>
            </w:pPr>
          </w:p>
          <w:p w14:paraId="2709B10D" w14:textId="77777777" w:rsidR="000C51A6" w:rsidRPr="00D04C75" w:rsidRDefault="000C51A6" w:rsidP="00D716CC">
            <w:pPr>
              <w:spacing w:before="60"/>
            </w:pPr>
          </w:p>
          <w:p w14:paraId="707E1DC1" w14:textId="7B1D1DB5" w:rsidR="004829A9" w:rsidRPr="00D04C75" w:rsidRDefault="004829A9" w:rsidP="00D716CC">
            <w:pPr>
              <w:spacing w:before="60"/>
            </w:pPr>
            <w:r w:rsidRPr="00D04C75">
              <w:t>POCD</w:t>
            </w:r>
          </w:p>
          <w:p w14:paraId="31485792" w14:textId="77777777" w:rsidR="004829A9" w:rsidRPr="00D04C75" w:rsidRDefault="004829A9" w:rsidP="00D716CC">
            <w:pPr>
              <w:spacing w:before="60"/>
            </w:pPr>
          </w:p>
          <w:p w14:paraId="3F544997" w14:textId="77777777" w:rsidR="004829A9" w:rsidRPr="00D04C75" w:rsidRDefault="004829A9" w:rsidP="00D716CC">
            <w:pPr>
              <w:spacing w:before="60"/>
            </w:pPr>
            <w:r w:rsidRPr="00D04C75">
              <w:t>POCD</w:t>
            </w:r>
          </w:p>
          <w:p w14:paraId="1F97FF9F" w14:textId="77777777" w:rsidR="004829A9" w:rsidRPr="00D04C75" w:rsidRDefault="004829A9" w:rsidP="00D716CC">
            <w:pPr>
              <w:spacing w:before="60"/>
            </w:pPr>
          </w:p>
          <w:p w14:paraId="25364178" w14:textId="77777777" w:rsidR="004829A9" w:rsidRPr="00D04C75" w:rsidRDefault="004829A9" w:rsidP="00D716CC">
            <w:pPr>
              <w:spacing w:before="60"/>
            </w:pPr>
            <w:r w:rsidRPr="00D04C75">
              <w:t>DGO/POCD</w:t>
            </w:r>
          </w:p>
        </w:tc>
      </w:tr>
      <w:tr w:rsidR="00D04C75" w:rsidRPr="00D04C75" w14:paraId="66E5DDA5" w14:textId="77777777" w:rsidTr="006A2CFF">
        <w:tc>
          <w:tcPr>
            <w:tcW w:w="425" w:type="dxa"/>
            <w:tcBorders>
              <w:top w:val="single" w:sz="4" w:space="0" w:color="auto"/>
              <w:left w:val="single" w:sz="4" w:space="0" w:color="auto"/>
              <w:bottom w:val="single" w:sz="4" w:space="0" w:color="auto"/>
              <w:right w:val="single" w:sz="4" w:space="0" w:color="auto"/>
            </w:tcBorders>
          </w:tcPr>
          <w:p w14:paraId="4851F9E0" w14:textId="77777777" w:rsidR="004829A9" w:rsidRPr="00D04C75" w:rsidRDefault="004829A9" w:rsidP="00D716CC">
            <w:pPr>
              <w:pStyle w:val="ListParagraph"/>
              <w:numPr>
                <w:ilvl w:val="0"/>
                <w:numId w:val="3"/>
              </w:numPr>
              <w:spacing w:before="60"/>
              <w:ind w:left="0" w:firstLine="0"/>
              <w:contextualSpacing w:val="0"/>
            </w:pPr>
          </w:p>
        </w:tc>
        <w:tc>
          <w:tcPr>
            <w:tcW w:w="7221" w:type="dxa"/>
            <w:tcBorders>
              <w:top w:val="single" w:sz="4" w:space="0" w:color="auto"/>
              <w:left w:val="single" w:sz="4" w:space="0" w:color="auto"/>
              <w:bottom w:val="single" w:sz="4" w:space="0" w:color="auto"/>
              <w:right w:val="single" w:sz="4" w:space="0" w:color="auto"/>
            </w:tcBorders>
            <w:hideMark/>
          </w:tcPr>
          <w:p w14:paraId="0BEBD5A7" w14:textId="6D2C7458" w:rsidR="004829A9" w:rsidRPr="00D04C75" w:rsidRDefault="004829A9" w:rsidP="00D716CC">
            <w:pPr>
              <w:spacing w:before="60"/>
              <w:rPr>
                <w:b/>
                <w:bCs/>
              </w:rPr>
            </w:pPr>
            <w:r w:rsidRPr="00D04C75">
              <w:rPr>
                <w:b/>
                <w:bCs/>
              </w:rPr>
              <w:t>People of Colour Forum</w:t>
            </w:r>
          </w:p>
          <w:p w14:paraId="6AED742A" w14:textId="58964F2B" w:rsidR="00BB1641" w:rsidRPr="00D04C75" w:rsidRDefault="007F5108" w:rsidP="00D716CC">
            <w:pPr>
              <w:spacing w:before="60"/>
            </w:pPr>
            <w:r w:rsidRPr="00D04C75">
              <w:t xml:space="preserve">We have </w:t>
            </w:r>
            <w:r w:rsidR="00D93779" w:rsidRPr="00D04C75">
              <w:t xml:space="preserve">diverse </w:t>
            </w:r>
            <w:r w:rsidR="00C02F40" w:rsidRPr="00D04C75">
              <w:t xml:space="preserve">views </w:t>
            </w:r>
            <w:r w:rsidR="00D93779" w:rsidRPr="00D04C75">
              <w:t xml:space="preserve">on the value of this recommendation, how best to do it safely and inclusively and </w:t>
            </w:r>
            <w:r w:rsidR="00C05B26" w:rsidRPr="00D04C75">
              <w:t xml:space="preserve">have it </w:t>
            </w:r>
            <w:r w:rsidR="000B3505" w:rsidRPr="00D04C75">
              <w:t>as</w:t>
            </w:r>
            <w:r w:rsidR="00C05B26" w:rsidRPr="00D04C75">
              <w:t xml:space="preserve"> a safe-space </w:t>
            </w:r>
            <w:r w:rsidR="000B3505" w:rsidRPr="00D04C75">
              <w:t xml:space="preserve">and peer-support </w:t>
            </w:r>
            <w:r w:rsidR="00C05B26" w:rsidRPr="00D04C75">
              <w:t xml:space="preserve">rather than foster </w:t>
            </w:r>
            <w:r w:rsidR="00C02F40" w:rsidRPr="00D04C75">
              <w:t>isolat</w:t>
            </w:r>
            <w:r w:rsidR="0019604F" w:rsidRPr="00D04C75">
              <w:t>ion and</w:t>
            </w:r>
            <w:r w:rsidR="00C02F40" w:rsidRPr="00D04C75">
              <w:t xml:space="preserve"> fragment</w:t>
            </w:r>
            <w:r w:rsidR="0019604F" w:rsidRPr="00D04C75">
              <w:t>ation.</w:t>
            </w:r>
          </w:p>
          <w:p w14:paraId="717021E2" w14:textId="1967F9D1" w:rsidR="00C02F40" w:rsidRPr="00D04C75" w:rsidRDefault="008E5048" w:rsidP="0025105C">
            <w:pPr>
              <w:spacing w:before="60"/>
            </w:pPr>
            <w:r w:rsidRPr="00D04C75">
              <w:t xml:space="preserve">3.1. </w:t>
            </w:r>
            <w:r w:rsidR="00BB1641" w:rsidRPr="00D04C75">
              <w:t xml:space="preserve">If / when people of colour </w:t>
            </w:r>
            <w:r w:rsidRPr="00D04C75">
              <w:t xml:space="preserve">decide to </w:t>
            </w:r>
            <w:r w:rsidR="00BB1641" w:rsidRPr="00D04C75">
              <w:t xml:space="preserve">self-organise in this </w:t>
            </w:r>
            <w:proofErr w:type="gramStart"/>
            <w:r w:rsidR="00BB1641" w:rsidRPr="00D04C75">
              <w:t>way</w:t>
            </w:r>
            <w:proofErr w:type="gramEnd"/>
            <w:r w:rsidR="009F2D7A" w:rsidRPr="00D04C75">
              <w:t xml:space="preserve"> </w:t>
            </w:r>
            <w:r w:rsidRPr="00D04C75">
              <w:t xml:space="preserve">we will work with the </w:t>
            </w:r>
            <w:r w:rsidR="00DF710C" w:rsidRPr="00D04C75">
              <w:t>Working Group</w:t>
            </w:r>
            <w:r w:rsidRPr="00D04C75">
              <w:t xml:space="preserve"> to </w:t>
            </w:r>
            <w:r w:rsidR="0025105C" w:rsidRPr="00D04C75">
              <w:t>enable and support.</w:t>
            </w:r>
          </w:p>
        </w:tc>
        <w:tc>
          <w:tcPr>
            <w:tcW w:w="1233" w:type="dxa"/>
            <w:tcBorders>
              <w:top w:val="single" w:sz="4" w:space="0" w:color="auto"/>
              <w:left w:val="single" w:sz="4" w:space="0" w:color="auto"/>
              <w:bottom w:val="single" w:sz="4" w:space="0" w:color="auto"/>
              <w:right w:val="single" w:sz="4" w:space="0" w:color="auto"/>
            </w:tcBorders>
          </w:tcPr>
          <w:p w14:paraId="75D0E079" w14:textId="77777777" w:rsidR="004829A9" w:rsidRPr="00D04C75" w:rsidRDefault="004829A9" w:rsidP="00D716CC">
            <w:pPr>
              <w:spacing w:before="60"/>
            </w:pPr>
          </w:p>
          <w:p w14:paraId="21BCEA49" w14:textId="77777777" w:rsidR="0025105C" w:rsidRPr="00D04C75" w:rsidRDefault="0025105C" w:rsidP="00D716CC">
            <w:pPr>
              <w:spacing w:before="60"/>
            </w:pPr>
          </w:p>
          <w:p w14:paraId="04B44F69" w14:textId="77777777" w:rsidR="0025105C" w:rsidRPr="00D04C75" w:rsidRDefault="0025105C" w:rsidP="00D716CC">
            <w:pPr>
              <w:spacing w:before="60"/>
            </w:pPr>
          </w:p>
          <w:p w14:paraId="69406815" w14:textId="0F5E7E22" w:rsidR="004829A9" w:rsidRPr="00D04C75" w:rsidRDefault="004829A9" w:rsidP="00D716CC">
            <w:pPr>
              <w:spacing w:before="60"/>
            </w:pPr>
            <w:r w:rsidRPr="00D04C75">
              <w:t>SA</w:t>
            </w:r>
            <w:r w:rsidR="00D04C75">
              <w:t>/ARWG</w:t>
            </w:r>
          </w:p>
        </w:tc>
      </w:tr>
      <w:tr w:rsidR="00D04C75" w:rsidRPr="00D04C75" w14:paraId="68B86D76" w14:textId="77777777" w:rsidTr="006A2CFF">
        <w:tc>
          <w:tcPr>
            <w:tcW w:w="425" w:type="dxa"/>
            <w:tcBorders>
              <w:top w:val="single" w:sz="4" w:space="0" w:color="auto"/>
              <w:left w:val="single" w:sz="4" w:space="0" w:color="auto"/>
              <w:bottom w:val="single" w:sz="4" w:space="0" w:color="auto"/>
              <w:right w:val="single" w:sz="4" w:space="0" w:color="auto"/>
            </w:tcBorders>
          </w:tcPr>
          <w:p w14:paraId="1B74F1FD" w14:textId="77777777" w:rsidR="004829A9" w:rsidRPr="00D04C75" w:rsidRDefault="004829A9" w:rsidP="00D716CC">
            <w:pPr>
              <w:pStyle w:val="ListParagraph"/>
              <w:numPr>
                <w:ilvl w:val="0"/>
                <w:numId w:val="3"/>
              </w:numPr>
              <w:spacing w:before="60"/>
              <w:ind w:left="0" w:firstLine="0"/>
              <w:contextualSpacing w:val="0"/>
            </w:pPr>
          </w:p>
        </w:tc>
        <w:tc>
          <w:tcPr>
            <w:tcW w:w="7221" w:type="dxa"/>
            <w:tcBorders>
              <w:top w:val="single" w:sz="4" w:space="0" w:color="auto"/>
              <w:left w:val="single" w:sz="4" w:space="0" w:color="auto"/>
              <w:bottom w:val="single" w:sz="4" w:space="0" w:color="auto"/>
              <w:right w:val="single" w:sz="4" w:space="0" w:color="auto"/>
            </w:tcBorders>
            <w:hideMark/>
          </w:tcPr>
          <w:p w14:paraId="17E46949" w14:textId="566FEA3A" w:rsidR="009F2D7A" w:rsidRPr="00D04C75" w:rsidRDefault="004829A9" w:rsidP="00D716CC">
            <w:pPr>
              <w:spacing w:before="60"/>
              <w:rPr>
                <w:b/>
                <w:bCs/>
              </w:rPr>
            </w:pPr>
            <w:r w:rsidRPr="00D04C75">
              <w:rPr>
                <w:b/>
                <w:bCs/>
              </w:rPr>
              <w:t>Equitable opportunities for employment, retention and progression</w:t>
            </w:r>
          </w:p>
          <w:p w14:paraId="16CFD844" w14:textId="0254D04E" w:rsidR="00866D65" w:rsidRPr="00D04C75" w:rsidRDefault="004829A9" w:rsidP="00D716CC">
            <w:pPr>
              <w:spacing w:before="60"/>
            </w:pPr>
            <w:r w:rsidRPr="00D04C75">
              <w:t xml:space="preserve">The report does not provide </w:t>
            </w:r>
            <w:r w:rsidR="005963FB" w:rsidRPr="00D04C75">
              <w:t>detailed</w:t>
            </w:r>
            <w:r w:rsidRPr="00D04C75">
              <w:t xml:space="preserve"> evidence of bias / blockage / barriers </w:t>
            </w:r>
            <w:r w:rsidR="005963FB" w:rsidRPr="00D04C75">
              <w:t xml:space="preserve">and rather recommends an </w:t>
            </w:r>
            <w:r w:rsidR="009F0C31" w:rsidRPr="00D04C75">
              <w:t xml:space="preserve">audit of HR processes. We agree this needs to be done, with an </w:t>
            </w:r>
            <w:r w:rsidR="00407D51" w:rsidRPr="00D04C75">
              <w:t xml:space="preserve">anti-racist </w:t>
            </w:r>
            <w:r w:rsidR="009348EB" w:rsidRPr="00D04C75">
              <w:t>focus</w:t>
            </w:r>
            <w:r w:rsidR="00407D51" w:rsidRPr="00D04C75">
              <w:t xml:space="preserve"> but </w:t>
            </w:r>
            <w:r w:rsidR="000B3505" w:rsidRPr="00D04C75">
              <w:t xml:space="preserve">also </w:t>
            </w:r>
            <w:r w:rsidR="00407D51" w:rsidRPr="00D04C75">
              <w:t xml:space="preserve">more </w:t>
            </w:r>
            <w:r w:rsidR="000B3505" w:rsidRPr="00D04C75">
              <w:t>broadly</w:t>
            </w:r>
            <w:r w:rsidR="00866D65" w:rsidRPr="00D04C75">
              <w:t>.</w:t>
            </w:r>
          </w:p>
          <w:p w14:paraId="2A2674E4" w14:textId="02003693" w:rsidR="004829A9" w:rsidRPr="00D04C75" w:rsidRDefault="004829A9" w:rsidP="00D716CC">
            <w:pPr>
              <w:spacing w:before="60"/>
            </w:pPr>
            <w:r w:rsidRPr="00D04C75">
              <w:t>4.1. Demographic survey</w:t>
            </w:r>
            <w:r w:rsidR="00D04C75">
              <w:t>.</w:t>
            </w:r>
          </w:p>
          <w:p w14:paraId="205F1B68" w14:textId="5D3A5A4D" w:rsidR="004829A9" w:rsidRPr="00D04C75" w:rsidRDefault="004829A9" w:rsidP="00D716CC">
            <w:pPr>
              <w:spacing w:before="60"/>
            </w:pPr>
            <w:r w:rsidRPr="00D04C75">
              <w:t>4.2. Review work experience / academic record for systemic bias</w:t>
            </w:r>
            <w:r w:rsidR="00D04C75">
              <w:t>.</w:t>
            </w:r>
          </w:p>
          <w:p w14:paraId="7BAB30AE" w14:textId="5448A574" w:rsidR="004829A9" w:rsidRPr="00D04C75" w:rsidRDefault="004829A9" w:rsidP="00D716CC">
            <w:pPr>
              <w:spacing w:before="60"/>
            </w:pPr>
            <w:r w:rsidRPr="00D04C75">
              <w:lastRenderedPageBreak/>
              <w:t xml:space="preserve">4.3. Ensure the entire Secretariat workforce is compensated </w:t>
            </w:r>
            <w:r w:rsidR="00373658" w:rsidRPr="00D04C75">
              <w:t>equitably</w:t>
            </w:r>
            <w:r w:rsidR="00FB3180" w:rsidRPr="00D04C75">
              <w:t xml:space="preserve">. This will be linked to more actionable steps </w:t>
            </w:r>
            <w:r w:rsidR="00CE2182" w:rsidRPr="00D04C75">
              <w:t xml:space="preserve">inclusive of the </w:t>
            </w:r>
            <w:r w:rsidR="00FB3180" w:rsidRPr="00D04C75">
              <w:rPr>
                <w:sz w:val="23"/>
                <w:szCs w:val="23"/>
              </w:rPr>
              <w:t>salary benchmarking exercise</w:t>
            </w:r>
            <w:r w:rsidR="00CE2182" w:rsidRPr="00D04C75">
              <w:rPr>
                <w:sz w:val="23"/>
                <w:szCs w:val="23"/>
              </w:rPr>
              <w:t xml:space="preserve"> which will </w:t>
            </w:r>
            <w:r w:rsidR="00FB3180" w:rsidRPr="00D04C75">
              <w:rPr>
                <w:sz w:val="23"/>
                <w:szCs w:val="23"/>
              </w:rPr>
              <w:t>address racism and discrimination</w:t>
            </w:r>
            <w:r w:rsidR="00D04C75">
              <w:rPr>
                <w:sz w:val="23"/>
                <w:szCs w:val="23"/>
              </w:rPr>
              <w:t>.</w:t>
            </w:r>
          </w:p>
          <w:p w14:paraId="7177837C" w14:textId="0570AF36" w:rsidR="004829A9" w:rsidRPr="00D04C75" w:rsidRDefault="004829A9" w:rsidP="00D716CC">
            <w:pPr>
              <w:spacing w:before="60"/>
            </w:pPr>
            <w:r w:rsidRPr="00D04C75">
              <w:t>4.4. Review POC/HR structure across the Secretariat and see if there is anything we can do to ensure a greater focus on DEI and mediation</w:t>
            </w:r>
            <w:r w:rsidR="00D04C75">
              <w:t>. C</w:t>
            </w:r>
            <w:r w:rsidR="00DF710C" w:rsidRPr="00D04C75">
              <w:t>onsideration of an</w:t>
            </w:r>
            <w:r w:rsidRPr="00D04C75">
              <w:t xml:space="preserve"> ombuds</w:t>
            </w:r>
            <w:r w:rsidR="000B3505" w:rsidRPr="00D04C75">
              <w:t>person</w:t>
            </w:r>
            <w:r w:rsidR="00D04C75">
              <w:t>.</w:t>
            </w:r>
          </w:p>
        </w:tc>
        <w:tc>
          <w:tcPr>
            <w:tcW w:w="1233" w:type="dxa"/>
            <w:tcBorders>
              <w:top w:val="single" w:sz="4" w:space="0" w:color="auto"/>
              <w:left w:val="single" w:sz="4" w:space="0" w:color="auto"/>
              <w:bottom w:val="single" w:sz="4" w:space="0" w:color="auto"/>
              <w:right w:val="single" w:sz="4" w:space="0" w:color="auto"/>
            </w:tcBorders>
          </w:tcPr>
          <w:p w14:paraId="10FC2B0E" w14:textId="77777777" w:rsidR="004829A9" w:rsidRPr="00D04C75" w:rsidRDefault="004829A9" w:rsidP="00D716CC">
            <w:pPr>
              <w:spacing w:before="60"/>
            </w:pPr>
          </w:p>
          <w:p w14:paraId="350C6711" w14:textId="77777777" w:rsidR="004829A9" w:rsidRPr="00D04C75" w:rsidRDefault="004829A9" w:rsidP="00D716CC">
            <w:pPr>
              <w:spacing w:before="60"/>
            </w:pPr>
          </w:p>
          <w:p w14:paraId="37DACCBF" w14:textId="77777777" w:rsidR="004829A9" w:rsidRPr="00D04C75" w:rsidRDefault="004829A9" w:rsidP="00D716CC">
            <w:pPr>
              <w:spacing w:before="60"/>
            </w:pPr>
          </w:p>
          <w:p w14:paraId="5FED7F7F" w14:textId="77777777" w:rsidR="004829A9" w:rsidRPr="00D04C75" w:rsidRDefault="004829A9" w:rsidP="00D716CC">
            <w:pPr>
              <w:spacing w:before="60"/>
            </w:pPr>
          </w:p>
          <w:p w14:paraId="1B0C9520" w14:textId="77777777" w:rsidR="004829A9" w:rsidRPr="00D04C75" w:rsidRDefault="004829A9" w:rsidP="00D716CC">
            <w:pPr>
              <w:spacing w:before="60"/>
            </w:pPr>
            <w:r w:rsidRPr="00D04C75">
              <w:t>POCD</w:t>
            </w:r>
          </w:p>
          <w:p w14:paraId="4CC19AEE" w14:textId="77777777" w:rsidR="004829A9" w:rsidRPr="00D04C75" w:rsidRDefault="004829A9" w:rsidP="00D716CC">
            <w:pPr>
              <w:spacing w:before="60"/>
            </w:pPr>
            <w:r w:rsidRPr="00D04C75">
              <w:t>POCD</w:t>
            </w:r>
          </w:p>
          <w:p w14:paraId="3A61800B" w14:textId="77777777" w:rsidR="004829A9" w:rsidRPr="00D04C75" w:rsidRDefault="004829A9" w:rsidP="00D716CC">
            <w:pPr>
              <w:spacing w:before="60"/>
            </w:pPr>
          </w:p>
          <w:p w14:paraId="4979E8D5" w14:textId="77777777" w:rsidR="004829A9" w:rsidRPr="00D04C75" w:rsidRDefault="004829A9" w:rsidP="00D716CC">
            <w:pPr>
              <w:spacing w:before="60"/>
            </w:pPr>
            <w:r w:rsidRPr="00D04C75">
              <w:t>POCD</w:t>
            </w:r>
          </w:p>
          <w:p w14:paraId="64E60E1D" w14:textId="77777777" w:rsidR="004829A9" w:rsidRPr="00D04C75" w:rsidRDefault="004829A9" w:rsidP="00D716CC">
            <w:pPr>
              <w:spacing w:before="60"/>
            </w:pPr>
            <w:r w:rsidRPr="00D04C75">
              <w:lastRenderedPageBreak/>
              <w:t>DLT</w:t>
            </w:r>
          </w:p>
        </w:tc>
      </w:tr>
    </w:tbl>
    <w:p w14:paraId="4001E7E0" w14:textId="77777777" w:rsidR="00105491" w:rsidRDefault="00105491">
      <w:r>
        <w:lastRenderedPageBreak/>
        <w:br w:type="page"/>
      </w:r>
    </w:p>
    <w:tbl>
      <w:tblPr>
        <w:tblStyle w:val="TableGrid"/>
        <w:tblW w:w="0" w:type="auto"/>
        <w:tblInd w:w="137" w:type="dxa"/>
        <w:tblLook w:val="04A0" w:firstRow="1" w:lastRow="0" w:firstColumn="1" w:lastColumn="0" w:noHBand="0" w:noVBand="1"/>
      </w:tblPr>
      <w:tblGrid>
        <w:gridCol w:w="425"/>
        <w:gridCol w:w="7221"/>
        <w:gridCol w:w="1233"/>
      </w:tblGrid>
      <w:tr w:rsidR="00D04C75" w:rsidRPr="00D04C75" w14:paraId="55330AE1" w14:textId="77777777" w:rsidTr="006A2CFF">
        <w:tc>
          <w:tcPr>
            <w:tcW w:w="425" w:type="dxa"/>
            <w:tcBorders>
              <w:top w:val="single" w:sz="4" w:space="0" w:color="auto"/>
              <w:left w:val="single" w:sz="4" w:space="0" w:color="auto"/>
              <w:bottom w:val="single" w:sz="4" w:space="0" w:color="auto"/>
              <w:right w:val="single" w:sz="4" w:space="0" w:color="auto"/>
            </w:tcBorders>
          </w:tcPr>
          <w:p w14:paraId="064C3C89" w14:textId="48C17066" w:rsidR="004829A9" w:rsidRPr="00D04C75" w:rsidRDefault="004829A9" w:rsidP="00D716CC">
            <w:pPr>
              <w:pStyle w:val="ListParagraph"/>
              <w:numPr>
                <w:ilvl w:val="0"/>
                <w:numId w:val="3"/>
              </w:numPr>
              <w:spacing w:before="60"/>
              <w:ind w:left="0" w:firstLine="0"/>
              <w:contextualSpacing w:val="0"/>
            </w:pPr>
          </w:p>
        </w:tc>
        <w:tc>
          <w:tcPr>
            <w:tcW w:w="7221" w:type="dxa"/>
            <w:tcBorders>
              <w:top w:val="single" w:sz="4" w:space="0" w:color="auto"/>
              <w:left w:val="single" w:sz="4" w:space="0" w:color="auto"/>
              <w:bottom w:val="single" w:sz="4" w:space="0" w:color="auto"/>
              <w:right w:val="single" w:sz="4" w:space="0" w:color="auto"/>
            </w:tcBorders>
            <w:hideMark/>
          </w:tcPr>
          <w:p w14:paraId="35BB0021" w14:textId="77777777" w:rsidR="004829A9" w:rsidRPr="00D04C75" w:rsidRDefault="004829A9" w:rsidP="00D716CC">
            <w:pPr>
              <w:spacing w:before="60"/>
              <w:rPr>
                <w:b/>
                <w:bCs/>
              </w:rPr>
            </w:pPr>
            <w:r w:rsidRPr="00D04C75">
              <w:rPr>
                <w:b/>
                <w:bCs/>
              </w:rPr>
              <w:t>Public Statement of Recognition</w:t>
            </w:r>
          </w:p>
          <w:p w14:paraId="6200B9D8" w14:textId="338F26A2" w:rsidR="004829A9" w:rsidRPr="00D04C75" w:rsidRDefault="004829A9" w:rsidP="00D716CC">
            <w:pPr>
              <w:spacing w:before="60"/>
            </w:pPr>
            <w:r w:rsidRPr="00D04C75">
              <w:t xml:space="preserve">5.1. For it to be valuable must follow internal debate about founding history and legacy. Aim for </w:t>
            </w:r>
            <w:r w:rsidR="00BD3F9D" w:rsidRPr="00D04C75">
              <w:t xml:space="preserve">the statement to be delivered at the </w:t>
            </w:r>
            <w:r w:rsidRPr="00D04C75">
              <w:t>GA on 70</w:t>
            </w:r>
            <w:r w:rsidRPr="00D04C75">
              <w:rPr>
                <w:vertAlign w:val="superscript"/>
              </w:rPr>
              <w:t>th</w:t>
            </w:r>
            <w:r w:rsidRPr="00D04C75">
              <w:t xml:space="preserve"> anniversary</w:t>
            </w:r>
            <w:r w:rsidR="00DF710C" w:rsidRPr="00D04C75">
              <w:t>.</w:t>
            </w:r>
          </w:p>
          <w:p w14:paraId="50E674BA" w14:textId="15C9D435" w:rsidR="004829A9" w:rsidRPr="00D04C75" w:rsidRDefault="004829A9" w:rsidP="00D716CC">
            <w:pPr>
              <w:spacing w:before="60"/>
            </w:pPr>
            <w:r w:rsidRPr="00D04C75">
              <w:t xml:space="preserve">5.2. </w:t>
            </w:r>
            <w:r w:rsidR="00D04C75" w:rsidRPr="00D04C75">
              <w:t>Internal c</w:t>
            </w:r>
            <w:r w:rsidRPr="00D04C75">
              <w:t>ommunication</w:t>
            </w:r>
            <w:r w:rsidR="00D04C75" w:rsidRPr="00D04C75">
              <w:t xml:space="preserve"> and action</w:t>
            </w:r>
            <w:r w:rsidRPr="00D04C75">
              <w:t xml:space="preserve"> </w:t>
            </w:r>
            <w:r w:rsidR="00DF710C" w:rsidRPr="00D04C75">
              <w:t xml:space="preserve">that is </w:t>
            </w:r>
            <w:r w:rsidRPr="00D04C75">
              <w:t>inclusive and reflective of diverse voices and languages</w:t>
            </w:r>
          </w:p>
        </w:tc>
        <w:tc>
          <w:tcPr>
            <w:tcW w:w="1233" w:type="dxa"/>
            <w:tcBorders>
              <w:top w:val="single" w:sz="4" w:space="0" w:color="auto"/>
              <w:left w:val="single" w:sz="4" w:space="0" w:color="auto"/>
              <w:bottom w:val="single" w:sz="4" w:space="0" w:color="auto"/>
              <w:right w:val="single" w:sz="4" w:space="0" w:color="auto"/>
            </w:tcBorders>
          </w:tcPr>
          <w:p w14:paraId="3418D492" w14:textId="77777777" w:rsidR="004829A9" w:rsidRPr="00D04C75" w:rsidRDefault="004829A9" w:rsidP="00D716CC">
            <w:pPr>
              <w:spacing w:before="60"/>
            </w:pPr>
          </w:p>
          <w:p w14:paraId="379FA614" w14:textId="77777777" w:rsidR="004829A9" w:rsidRPr="00D04C75" w:rsidRDefault="004829A9" w:rsidP="00D716CC">
            <w:pPr>
              <w:spacing w:before="60"/>
            </w:pPr>
            <w:r w:rsidRPr="00D04C75">
              <w:t>BOT</w:t>
            </w:r>
          </w:p>
          <w:p w14:paraId="02B31A39" w14:textId="77777777" w:rsidR="004829A9" w:rsidRPr="00D04C75" w:rsidRDefault="004829A9" w:rsidP="00D716CC">
            <w:pPr>
              <w:spacing w:before="60"/>
            </w:pPr>
          </w:p>
          <w:p w14:paraId="69589691" w14:textId="77777777" w:rsidR="00D04C75" w:rsidRDefault="00D04C75" w:rsidP="00D716CC">
            <w:pPr>
              <w:spacing w:before="60"/>
            </w:pPr>
          </w:p>
          <w:p w14:paraId="2C019EBA" w14:textId="371986E3" w:rsidR="004829A9" w:rsidRPr="00D04C75" w:rsidRDefault="004829A9" w:rsidP="00D716CC">
            <w:pPr>
              <w:spacing w:before="60"/>
            </w:pPr>
            <w:r w:rsidRPr="00D04C75">
              <w:t>Comms</w:t>
            </w:r>
          </w:p>
        </w:tc>
      </w:tr>
      <w:tr w:rsidR="00D04C75" w:rsidRPr="00D04C75" w14:paraId="4090AF13" w14:textId="77777777" w:rsidTr="006A2CFF">
        <w:tc>
          <w:tcPr>
            <w:tcW w:w="425" w:type="dxa"/>
            <w:tcBorders>
              <w:top w:val="single" w:sz="4" w:space="0" w:color="auto"/>
              <w:left w:val="single" w:sz="4" w:space="0" w:color="auto"/>
              <w:bottom w:val="single" w:sz="4" w:space="0" w:color="auto"/>
              <w:right w:val="single" w:sz="4" w:space="0" w:color="auto"/>
            </w:tcBorders>
          </w:tcPr>
          <w:p w14:paraId="22354B42" w14:textId="77777777" w:rsidR="004829A9" w:rsidRPr="00D04C75" w:rsidRDefault="004829A9" w:rsidP="00D716CC">
            <w:pPr>
              <w:pStyle w:val="ListParagraph"/>
              <w:numPr>
                <w:ilvl w:val="0"/>
                <w:numId w:val="3"/>
              </w:numPr>
              <w:spacing w:before="60"/>
              <w:ind w:left="0" w:firstLine="0"/>
              <w:contextualSpacing w:val="0"/>
            </w:pPr>
          </w:p>
        </w:tc>
        <w:tc>
          <w:tcPr>
            <w:tcW w:w="7221" w:type="dxa"/>
            <w:tcBorders>
              <w:top w:val="single" w:sz="4" w:space="0" w:color="auto"/>
              <w:left w:val="single" w:sz="4" w:space="0" w:color="auto"/>
              <w:bottom w:val="single" w:sz="4" w:space="0" w:color="auto"/>
              <w:right w:val="single" w:sz="4" w:space="0" w:color="auto"/>
            </w:tcBorders>
            <w:hideMark/>
          </w:tcPr>
          <w:p w14:paraId="7194DD91" w14:textId="77777777" w:rsidR="004829A9" w:rsidRPr="00D04C75" w:rsidRDefault="004829A9" w:rsidP="00D716CC">
            <w:pPr>
              <w:spacing w:before="60"/>
              <w:rPr>
                <w:b/>
                <w:bCs/>
              </w:rPr>
            </w:pPr>
            <w:r w:rsidRPr="00D04C75">
              <w:rPr>
                <w:b/>
                <w:bCs/>
              </w:rPr>
              <w:t>Amend safeguarding policy and code of conduct</w:t>
            </w:r>
          </w:p>
          <w:p w14:paraId="3A95F3CD" w14:textId="09431A37" w:rsidR="008867EB" w:rsidRPr="00D04C75" w:rsidRDefault="008867EB" w:rsidP="00D716CC">
            <w:pPr>
              <w:spacing w:before="60"/>
            </w:pPr>
            <w:r w:rsidRPr="00D04C75">
              <w:t>We do not believe amending the safeguarding policy (</w:t>
            </w:r>
            <w:proofErr w:type="gramStart"/>
            <w:r w:rsidRPr="00D04C75">
              <w:t>main focus</w:t>
            </w:r>
            <w:proofErr w:type="gramEnd"/>
            <w:r w:rsidRPr="00D04C75">
              <w:t xml:space="preserve"> on children and vulnerable adults) </w:t>
            </w:r>
            <w:r w:rsidR="00E9758B" w:rsidRPr="00D04C75">
              <w:t xml:space="preserve">is a current </w:t>
            </w:r>
            <w:r w:rsidR="00166255" w:rsidRPr="00D04C75">
              <w:t>priority but</w:t>
            </w:r>
            <w:r w:rsidR="00E9758B" w:rsidRPr="00D04C75">
              <w:t xml:space="preserve"> do agree on </w:t>
            </w:r>
            <w:r w:rsidR="00DF710C" w:rsidRPr="00D04C75">
              <w:t>updating HR and related operational policies.</w:t>
            </w:r>
          </w:p>
          <w:p w14:paraId="77050586" w14:textId="3B051F0B" w:rsidR="004829A9" w:rsidRPr="00D04C75" w:rsidRDefault="004829A9" w:rsidP="00D716CC">
            <w:pPr>
              <w:spacing w:before="60"/>
            </w:pPr>
            <w:r w:rsidRPr="00D04C75">
              <w:t>6.1</w:t>
            </w:r>
            <w:r w:rsidR="003923D6" w:rsidRPr="00D04C75">
              <w:t>. Amend Code of Conduct</w:t>
            </w:r>
            <w:r w:rsidR="00A63438" w:rsidRPr="00D04C75">
              <w:t xml:space="preserve">, DEI and other HR related </w:t>
            </w:r>
            <w:r w:rsidR="00D04C75" w:rsidRPr="00D04C75">
              <w:t xml:space="preserve">policies and procedures. </w:t>
            </w:r>
          </w:p>
        </w:tc>
        <w:tc>
          <w:tcPr>
            <w:tcW w:w="1233" w:type="dxa"/>
            <w:tcBorders>
              <w:top w:val="single" w:sz="4" w:space="0" w:color="auto"/>
              <w:left w:val="single" w:sz="4" w:space="0" w:color="auto"/>
              <w:bottom w:val="single" w:sz="4" w:space="0" w:color="auto"/>
              <w:right w:val="single" w:sz="4" w:space="0" w:color="auto"/>
            </w:tcBorders>
            <w:hideMark/>
          </w:tcPr>
          <w:p w14:paraId="14C82ACC" w14:textId="77777777" w:rsidR="00E9758B" w:rsidRPr="00D04C75" w:rsidRDefault="00E9758B" w:rsidP="00D716CC">
            <w:pPr>
              <w:spacing w:before="60"/>
            </w:pPr>
          </w:p>
          <w:p w14:paraId="555E0A7D" w14:textId="77777777" w:rsidR="00E9758B" w:rsidRPr="00D04C75" w:rsidRDefault="00E9758B" w:rsidP="00D716CC">
            <w:pPr>
              <w:spacing w:before="60"/>
            </w:pPr>
          </w:p>
          <w:p w14:paraId="16B1DDA5" w14:textId="00C01650" w:rsidR="004829A9" w:rsidRPr="00D04C75" w:rsidRDefault="004829A9" w:rsidP="00D716CC">
            <w:pPr>
              <w:spacing w:before="60"/>
            </w:pPr>
            <w:r w:rsidRPr="00D04C75">
              <w:t>POCD</w:t>
            </w:r>
          </w:p>
        </w:tc>
      </w:tr>
      <w:tr w:rsidR="00D04C75" w:rsidRPr="00D04C75" w14:paraId="730F1C99" w14:textId="77777777" w:rsidTr="006A2CFF">
        <w:tc>
          <w:tcPr>
            <w:tcW w:w="425" w:type="dxa"/>
            <w:tcBorders>
              <w:top w:val="single" w:sz="4" w:space="0" w:color="auto"/>
              <w:left w:val="single" w:sz="4" w:space="0" w:color="auto"/>
              <w:bottom w:val="single" w:sz="4" w:space="0" w:color="auto"/>
              <w:right w:val="single" w:sz="4" w:space="0" w:color="auto"/>
            </w:tcBorders>
          </w:tcPr>
          <w:p w14:paraId="09994538" w14:textId="77777777" w:rsidR="004829A9" w:rsidRPr="00D04C75" w:rsidRDefault="004829A9" w:rsidP="00D716CC">
            <w:pPr>
              <w:pStyle w:val="ListParagraph"/>
              <w:numPr>
                <w:ilvl w:val="0"/>
                <w:numId w:val="3"/>
              </w:numPr>
              <w:spacing w:before="60"/>
              <w:ind w:left="0" w:firstLine="0"/>
              <w:contextualSpacing w:val="0"/>
            </w:pPr>
          </w:p>
        </w:tc>
        <w:tc>
          <w:tcPr>
            <w:tcW w:w="7221" w:type="dxa"/>
            <w:tcBorders>
              <w:top w:val="single" w:sz="4" w:space="0" w:color="auto"/>
              <w:left w:val="single" w:sz="4" w:space="0" w:color="auto"/>
              <w:bottom w:val="single" w:sz="4" w:space="0" w:color="auto"/>
              <w:right w:val="single" w:sz="4" w:space="0" w:color="auto"/>
            </w:tcBorders>
            <w:hideMark/>
          </w:tcPr>
          <w:p w14:paraId="58013C99" w14:textId="77777777" w:rsidR="004829A9" w:rsidRPr="00D04C75" w:rsidRDefault="004829A9" w:rsidP="00D716CC">
            <w:pPr>
              <w:spacing w:before="60"/>
              <w:rPr>
                <w:b/>
                <w:bCs/>
              </w:rPr>
            </w:pPr>
            <w:r w:rsidRPr="00D04C75">
              <w:rPr>
                <w:b/>
                <w:bCs/>
              </w:rPr>
              <w:t>Review and modify colonial models</w:t>
            </w:r>
          </w:p>
          <w:p w14:paraId="427EAFD2" w14:textId="55452009" w:rsidR="004829A9" w:rsidRPr="00D04C75" w:rsidRDefault="004829A9" w:rsidP="00D716CC">
            <w:pPr>
              <w:spacing w:before="60"/>
            </w:pPr>
            <w:r w:rsidRPr="00D04C75">
              <w:t xml:space="preserve">The </w:t>
            </w:r>
            <w:r w:rsidR="00EA5202" w:rsidRPr="00D04C75">
              <w:t>report does not contain</w:t>
            </w:r>
            <w:r w:rsidRPr="00D04C75">
              <w:t xml:space="preserve"> many specific recommendations in this area but, consistent with the report, we </w:t>
            </w:r>
            <w:r w:rsidR="006A2CFF" w:rsidRPr="00D04C75">
              <w:t>will</w:t>
            </w:r>
            <w:r w:rsidRPr="00D04C75">
              <w:t>:</w:t>
            </w:r>
          </w:p>
          <w:p w14:paraId="112BD6E5" w14:textId="6DE409A9" w:rsidR="004829A9" w:rsidRPr="00D04C75" w:rsidRDefault="004829A9" w:rsidP="00D716CC">
            <w:pPr>
              <w:spacing w:before="60"/>
            </w:pPr>
            <w:r w:rsidRPr="00D04C75">
              <w:t xml:space="preserve">7.1. Continue to </w:t>
            </w:r>
            <w:r w:rsidR="00D04C75" w:rsidRPr="00D04C75">
              <w:t>ensure</w:t>
            </w:r>
            <w:r w:rsidRPr="00D04C75">
              <w:t xml:space="preserve"> resources </w:t>
            </w:r>
            <w:r w:rsidR="00D04C75" w:rsidRPr="00D04C75">
              <w:t>move closer to the ground. This includes continuing to support national and regional initiatives via various consortia and through</w:t>
            </w:r>
            <w:r w:rsidRPr="00D04C75">
              <w:t xml:space="preserve"> </w:t>
            </w:r>
            <w:r w:rsidR="00D04C75" w:rsidRPr="00D04C75">
              <w:t>S</w:t>
            </w:r>
            <w:r w:rsidRPr="00D04C75">
              <w:t xml:space="preserve">tream 2 </w:t>
            </w:r>
            <w:r w:rsidR="00D04C75" w:rsidRPr="00D04C75">
              <w:t>funding.</w:t>
            </w:r>
          </w:p>
          <w:p w14:paraId="59DFCD3B" w14:textId="7E40A34C" w:rsidR="004829A9" w:rsidRPr="00D04C75" w:rsidRDefault="004829A9" w:rsidP="00D716CC">
            <w:pPr>
              <w:spacing w:before="60"/>
            </w:pPr>
            <w:r w:rsidRPr="00D04C75">
              <w:t>7.2. Ensure program design</w:t>
            </w:r>
            <w:r w:rsidR="00967E4F" w:rsidRPr="00D04C75">
              <w:t xml:space="preserve"> </w:t>
            </w:r>
            <w:r w:rsidRPr="00D04C75">
              <w:t>is rooted in rigorous intersectoral context analysis, tools and processes</w:t>
            </w:r>
          </w:p>
          <w:p w14:paraId="79D1398E" w14:textId="41FE53DB" w:rsidR="004829A9" w:rsidRPr="00D04C75" w:rsidRDefault="004829A9" w:rsidP="00D716CC">
            <w:pPr>
              <w:spacing w:before="60"/>
            </w:pPr>
            <w:r w:rsidRPr="00D04C75">
              <w:t xml:space="preserve">7.3. </w:t>
            </w:r>
            <w:r w:rsidR="000B3505" w:rsidRPr="00D04C75">
              <w:t xml:space="preserve">Address </w:t>
            </w:r>
            <w:r w:rsidRPr="00D04C75">
              <w:t>power concentration (in the Secretariat)</w:t>
            </w:r>
            <w:r w:rsidR="00967E4F" w:rsidRPr="00D04C75">
              <w:t>,</w:t>
            </w:r>
            <w:r w:rsidRPr="00D04C75">
              <w:t xml:space="preserve"> and limited operational accountability to the membership. Introduce secretariat </w:t>
            </w:r>
            <w:r w:rsidR="00D04C75" w:rsidRPr="00D04C75">
              <w:t xml:space="preserve">reviews. </w:t>
            </w:r>
          </w:p>
        </w:tc>
        <w:tc>
          <w:tcPr>
            <w:tcW w:w="1233" w:type="dxa"/>
            <w:tcBorders>
              <w:top w:val="single" w:sz="4" w:space="0" w:color="auto"/>
              <w:left w:val="single" w:sz="4" w:space="0" w:color="auto"/>
              <w:bottom w:val="single" w:sz="4" w:space="0" w:color="auto"/>
              <w:right w:val="single" w:sz="4" w:space="0" w:color="auto"/>
            </w:tcBorders>
          </w:tcPr>
          <w:p w14:paraId="6A99F6B7" w14:textId="77777777" w:rsidR="004829A9" w:rsidRPr="00D04C75" w:rsidRDefault="004829A9" w:rsidP="00D716CC">
            <w:pPr>
              <w:spacing w:before="60"/>
              <w:rPr>
                <w:lang w:val="it-IT"/>
              </w:rPr>
            </w:pPr>
          </w:p>
          <w:p w14:paraId="2F9ACDAE" w14:textId="77777777" w:rsidR="004829A9" w:rsidRPr="00D04C75" w:rsidRDefault="004829A9" w:rsidP="00D716CC">
            <w:pPr>
              <w:spacing w:before="60"/>
              <w:rPr>
                <w:lang w:val="it-IT"/>
              </w:rPr>
            </w:pPr>
          </w:p>
          <w:p w14:paraId="60D16812" w14:textId="77777777" w:rsidR="004829A9" w:rsidRPr="00D04C75" w:rsidRDefault="004829A9" w:rsidP="00D716CC">
            <w:pPr>
              <w:spacing w:before="60"/>
              <w:rPr>
                <w:lang w:val="it-IT"/>
              </w:rPr>
            </w:pPr>
          </w:p>
          <w:p w14:paraId="63C1D754" w14:textId="1BB426D0" w:rsidR="004829A9" w:rsidRPr="00D04C75" w:rsidRDefault="006A2CFF" w:rsidP="00D716CC">
            <w:pPr>
              <w:spacing w:before="60"/>
              <w:rPr>
                <w:lang w:val="it-IT"/>
              </w:rPr>
            </w:pPr>
            <w:r w:rsidRPr="00D04C75">
              <w:rPr>
                <w:lang w:val="it-IT"/>
              </w:rPr>
              <w:t>D</w:t>
            </w:r>
            <w:r w:rsidR="004829A9" w:rsidRPr="00D04C75">
              <w:rPr>
                <w:lang w:val="it-IT"/>
              </w:rPr>
              <w:t>LT/DGO</w:t>
            </w:r>
          </w:p>
          <w:p w14:paraId="1E6E915A" w14:textId="77777777" w:rsidR="004829A9" w:rsidRPr="00D04C75" w:rsidRDefault="004829A9" w:rsidP="00D716CC">
            <w:pPr>
              <w:spacing w:before="60"/>
              <w:rPr>
                <w:lang w:val="it-IT"/>
              </w:rPr>
            </w:pPr>
          </w:p>
          <w:p w14:paraId="12CAE963" w14:textId="77777777" w:rsidR="004829A9" w:rsidRPr="00D04C75" w:rsidRDefault="004829A9" w:rsidP="00D716CC">
            <w:pPr>
              <w:spacing w:before="60"/>
              <w:rPr>
                <w:lang w:val="it-IT"/>
              </w:rPr>
            </w:pPr>
            <w:r w:rsidRPr="00D04C75">
              <w:rPr>
                <w:lang w:val="it-IT"/>
              </w:rPr>
              <w:t>DLT/G&amp;A</w:t>
            </w:r>
          </w:p>
          <w:p w14:paraId="0D683D94" w14:textId="77777777" w:rsidR="004829A9" w:rsidRPr="00D04C75" w:rsidRDefault="004829A9" w:rsidP="00D716CC">
            <w:pPr>
              <w:spacing w:before="60"/>
              <w:rPr>
                <w:lang w:val="it-IT"/>
              </w:rPr>
            </w:pPr>
            <w:r w:rsidRPr="00D04C75">
              <w:rPr>
                <w:lang w:val="it-IT"/>
              </w:rPr>
              <w:t>PD</w:t>
            </w:r>
          </w:p>
        </w:tc>
      </w:tr>
    </w:tbl>
    <w:p w14:paraId="0895B9E9" w14:textId="7944B8FD" w:rsidR="005F0160" w:rsidRDefault="005F0160">
      <w:pPr>
        <w:rPr>
          <w:lang w:val="it-IT"/>
        </w:rPr>
      </w:pPr>
    </w:p>
    <w:p w14:paraId="5C79B00E" w14:textId="4363E386" w:rsidR="00F3686E" w:rsidRDefault="00F3686E">
      <w:pPr>
        <w:rPr>
          <w:lang w:val="it-IT"/>
        </w:rPr>
      </w:pPr>
    </w:p>
    <w:p w14:paraId="48C32DBE" w14:textId="77777777" w:rsidR="00F3686E" w:rsidRDefault="00F3686E" w:rsidP="00F3686E">
      <w:pPr>
        <w:autoSpaceDE w:val="0"/>
        <w:autoSpaceDN w:val="0"/>
        <w:adjustRightInd w:val="0"/>
        <w:spacing w:after="0" w:line="240" w:lineRule="auto"/>
        <w:rPr>
          <w:rFonts w:ascii="Spezia-Regular" w:hAnsi="Spezia-Regular" w:cs="Spezia-Regular"/>
          <w:sz w:val="18"/>
          <w:szCs w:val="18"/>
          <w:lang w:val="en-KE"/>
        </w:rPr>
      </w:pPr>
      <w:r>
        <w:rPr>
          <w:rFonts w:ascii="Spezia-Regular" w:hAnsi="Spezia-Regular" w:cs="Spezia-Regular"/>
          <w:sz w:val="18"/>
          <w:szCs w:val="18"/>
          <w:lang w:val="en-KE"/>
        </w:rPr>
        <w:t>Do your workforce and board</w:t>
      </w:r>
    </w:p>
    <w:p w14:paraId="02BEA280" w14:textId="77777777" w:rsidR="00F3686E" w:rsidRDefault="00F3686E" w:rsidP="00F3686E">
      <w:pPr>
        <w:autoSpaceDE w:val="0"/>
        <w:autoSpaceDN w:val="0"/>
        <w:adjustRightInd w:val="0"/>
        <w:spacing w:after="0" w:line="240" w:lineRule="auto"/>
        <w:rPr>
          <w:rFonts w:ascii="Spezia-Regular" w:hAnsi="Spezia-Regular" w:cs="Spezia-Regular"/>
          <w:sz w:val="18"/>
          <w:szCs w:val="18"/>
          <w:lang w:val="en-KE"/>
        </w:rPr>
      </w:pPr>
      <w:r>
        <w:rPr>
          <w:rFonts w:ascii="Spezia-Regular" w:hAnsi="Spezia-Regular" w:cs="Spezia-Regular"/>
          <w:sz w:val="18"/>
          <w:szCs w:val="18"/>
          <w:lang w:val="en-KE"/>
        </w:rPr>
        <w:t>represent the diversity of the customer base, of your</w:t>
      </w:r>
    </w:p>
    <w:p w14:paraId="666CBF1F" w14:textId="77777777" w:rsidR="00F3686E" w:rsidRDefault="00F3686E" w:rsidP="00F3686E">
      <w:pPr>
        <w:autoSpaceDE w:val="0"/>
        <w:autoSpaceDN w:val="0"/>
        <w:adjustRightInd w:val="0"/>
        <w:spacing w:after="0" w:line="240" w:lineRule="auto"/>
        <w:rPr>
          <w:rFonts w:ascii="Spezia-Regular" w:hAnsi="Spezia-Regular" w:cs="Spezia-Regular"/>
          <w:sz w:val="18"/>
          <w:szCs w:val="18"/>
          <w:lang w:val="en-KE"/>
        </w:rPr>
      </w:pPr>
      <w:r>
        <w:rPr>
          <w:rFonts w:ascii="Spezia-Regular" w:hAnsi="Spezia-Regular" w:cs="Spezia-Regular"/>
          <w:sz w:val="18"/>
          <w:szCs w:val="18"/>
          <w:lang w:val="en-KE"/>
        </w:rPr>
        <w:t>future growth, the communities you serve, your</w:t>
      </w:r>
    </w:p>
    <w:p w14:paraId="6A1C6EBC" w14:textId="410F2C93" w:rsidR="00F3686E" w:rsidRDefault="00F3686E" w:rsidP="00F3686E">
      <w:pPr>
        <w:rPr>
          <w:rFonts w:ascii="Spezia-Regular" w:hAnsi="Spezia-Regular" w:cs="Spezia-Regular"/>
          <w:sz w:val="18"/>
          <w:szCs w:val="18"/>
          <w:lang w:val="en-KE"/>
        </w:rPr>
      </w:pPr>
      <w:r>
        <w:rPr>
          <w:rFonts w:ascii="Spezia-Regular" w:hAnsi="Spezia-Regular" w:cs="Spezia-Regular"/>
          <w:sz w:val="18"/>
          <w:szCs w:val="18"/>
          <w:lang w:val="en-KE"/>
        </w:rPr>
        <w:t>customers?”</w:t>
      </w:r>
    </w:p>
    <w:p w14:paraId="7E2DD871" w14:textId="3FD56D79" w:rsidR="00F3686E" w:rsidRDefault="00F3686E" w:rsidP="00F3686E">
      <w:pPr>
        <w:rPr>
          <w:rFonts w:ascii="Spezia-Regular" w:hAnsi="Spezia-Regular" w:cs="Spezia-Regular"/>
          <w:sz w:val="18"/>
          <w:szCs w:val="18"/>
          <w:lang w:val="en-KE"/>
        </w:rPr>
      </w:pPr>
    </w:p>
    <w:p w14:paraId="3B7360A2" w14:textId="77777777" w:rsidR="00F3686E" w:rsidRDefault="00F3686E" w:rsidP="00F3686E">
      <w:pPr>
        <w:autoSpaceDE w:val="0"/>
        <w:autoSpaceDN w:val="0"/>
        <w:adjustRightInd w:val="0"/>
        <w:spacing w:after="0" w:line="240" w:lineRule="auto"/>
        <w:rPr>
          <w:rFonts w:ascii="Spezia-Regular" w:hAnsi="Spezia-Regular" w:cs="Spezia-Regular"/>
          <w:sz w:val="18"/>
          <w:szCs w:val="18"/>
          <w:lang w:val="en-KE"/>
        </w:rPr>
      </w:pPr>
      <w:r>
        <w:rPr>
          <w:rFonts w:ascii="Spezia-Regular" w:hAnsi="Spezia-Regular" w:cs="Spezia-Regular"/>
          <w:sz w:val="18"/>
          <w:szCs w:val="18"/>
          <w:lang w:val="en-KE"/>
        </w:rPr>
        <w:t>“It’s not just a numbers game, having a</w:t>
      </w:r>
    </w:p>
    <w:p w14:paraId="544EF467" w14:textId="77777777" w:rsidR="00F3686E" w:rsidRDefault="00F3686E" w:rsidP="00F3686E">
      <w:pPr>
        <w:autoSpaceDE w:val="0"/>
        <w:autoSpaceDN w:val="0"/>
        <w:adjustRightInd w:val="0"/>
        <w:spacing w:after="0" w:line="240" w:lineRule="auto"/>
        <w:rPr>
          <w:rFonts w:ascii="Spezia-Regular" w:hAnsi="Spezia-Regular" w:cs="Spezia-Regular"/>
          <w:sz w:val="18"/>
          <w:szCs w:val="18"/>
          <w:lang w:val="en-KE"/>
        </w:rPr>
      </w:pPr>
      <w:r>
        <w:rPr>
          <w:rFonts w:ascii="Spezia-Regular" w:hAnsi="Spezia-Regular" w:cs="Spezia-Regular"/>
          <w:sz w:val="18"/>
          <w:szCs w:val="18"/>
          <w:lang w:val="en-KE"/>
        </w:rPr>
        <w:t xml:space="preserve">certain number of people of </w:t>
      </w:r>
      <w:proofErr w:type="spellStart"/>
      <w:r>
        <w:rPr>
          <w:rFonts w:ascii="Spezia-Regular" w:hAnsi="Spezia-Regular" w:cs="Spezia-Regular"/>
          <w:sz w:val="18"/>
          <w:szCs w:val="18"/>
          <w:lang w:val="en-KE"/>
        </w:rPr>
        <w:t>color</w:t>
      </w:r>
      <w:proofErr w:type="spellEnd"/>
      <w:r>
        <w:rPr>
          <w:rFonts w:ascii="Spezia-Regular" w:hAnsi="Spezia-Regular" w:cs="Spezia-Regular"/>
          <w:sz w:val="18"/>
          <w:szCs w:val="18"/>
          <w:lang w:val="en-KE"/>
        </w:rPr>
        <w:t xml:space="preserve"> in ranks; it is more about</w:t>
      </w:r>
    </w:p>
    <w:p w14:paraId="7402ED2E" w14:textId="77777777" w:rsidR="00F3686E" w:rsidRDefault="00F3686E" w:rsidP="00F3686E">
      <w:pPr>
        <w:autoSpaceDE w:val="0"/>
        <w:autoSpaceDN w:val="0"/>
        <w:adjustRightInd w:val="0"/>
        <w:spacing w:after="0" w:line="240" w:lineRule="auto"/>
        <w:rPr>
          <w:rFonts w:ascii="Spezia-Regular" w:hAnsi="Spezia-Regular" w:cs="Spezia-Regular"/>
          <w:sz w:val="18"/>
          <w:szCs w:val="18"/>
          <w:lang w:val="en-KE"/>
        </w:rPr>
      </w:pPr>
      <w:r>
        <w:rPr>
          <w:rFonts w:ascii="Spezia-Regular" w:hAnsi="Spezia-Regular" w:cs="Spezia-Regular"/>
          <w:sz w:val="18"/>
          <w:szCs w:val="18"/>
          <w:lang w:val="en-KE"/>
        </w:rPr>
        <w:t>creating a sense of belonging for employees, unlocking the</w:t>
      </w:r>
    </w:p>
    <w:p w14:paraId="79D58FB3" w14:textId="754225E0" w:rsidR="00F3686E" w:rsidRDefault="00F3686E" w:rsidP="00F3686E">
      <w:pPr>
        <w:rPr>
          <w:rFonts w:ascii="Spezia-Regular" w:hAnsi="Spezia-Regular" w:cs="Spezia-Regular"/>
          <w:sz w:val="18"/>
          <w:szCs w:val="18"/>
          <w:lang w:val="en-KE"/>
        </w:rPr>
      </w:pPr>
      <w:r>
        <w:rPr>
          <w:rFonts w:ascii="Spezia-Regular" w:hAnsi="Spezia-Regular" w:cs="Spezia-Regular"/>
          <w:sz w:val="18"/>
          <w:szCs w:val="18"/>
          <w:lang w:val="en-KE"/>
        </w:rPr>
        <w:t>talent that’s inherent in every person</w:t>
      </w:r>
    </w:p>
    <w:p w14:paraId="2A102067" w14:textId="77777777" w:rsidR="00F3686E" w:rsidRPr="00D04C75" w:rsidRDefault="00F3686E" w:rsidP="00F3686E">
      <w:pPr>
        <w:rPr>
          <w:lang w:val="it-IT"/>
        </w:rPr>
      </w:pPr>
    </w:p>
    <w:sectPr w:rsidR="00F3686E" w:rsidRPr="00D04C75" w:rsidSect="002B7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pezia-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6335"/>
    <w:multiLevelType w:val="hybridMultilevel"/>
    <w:tmpl w:val="580A0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29403B"/>
    <w:multiLevelType w:val="hybridMultilevel"/>
    <w:tmpl w:val="9C1A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0E79E8"/>
    <w:multiLevelType w:val="hybridMultilevel"/>
    <w:tmpl w:val="95543B1A"/>
    <w:lvl w:ilvl="0" w:tplc="7B5A9AFE">
      <w:start w:val="5"/>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2B77DEA"/>
    <w:multiLevelType w:val="hybridMultilevel"/>
    <w:tmpl w:val="936C17EA"/>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4" w15:restartNumberingAfterBreak="0">
    <w:nsid w:val="761B4B0C"/>
    <w:multiLevelType w:val="multilevel"/>
    <w:tmpl w:val="B3B47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0E"/>
    <w:rsid w:val="00015FD3"/>
    <w:rsid w:val="00027FA3"/>
    <w:rsid w:val="00043FF6"/>
    <w:rsid w:val="000714BD"/>
    <w:rsid w:val="000932E6"/>
    <w:rsid w:val="000B3505"/>
    <w:rsid w:val="000C51A6"/>
    <w:rsid w:val="000E5AE8"/>
    <w:rsid w:val="0010320E"/>
    <w:rsid w:val="00105491"/>
    <w:rsid w:val="0015242D"/>
    <w:rsid w:val="00154104"/>
    <w:rsid w:val="00157BEC"/>
    <w:rsid w:val="00166255"/>
    <w:rsid w:val="00173549"/>
    <w:rsid w:val="0017426F"/>
    <w:rsid w:val="00190E31"/>
    <w:rsid w:val="00192B1A"/>
    <w:rsid w:val="0019604F"/>
    <w:rsid w:val="001A251D"/>
    <w:rsid w:val="001A4894"/>
    <w:rsid w:val="001F4231"/>
    <w:rsid w:val="00227DF9"/>
    <w:rsid w:val="0023547C"/>
    <w:rsid w:val="0025105C"/>
    <w:rsid w:val="0027340D"/>
    <w:rsid w:val="00291D4F"/>
    <w:rsid w:val="002A6882"/>
    <w:rsid w:val="002B395F"/>
    <w:rsid w:val="002B73F3"/>
    <w:rsid w:val="002C0430"/>
    <w:rsid w:val="003032E9"/>
    <w:rsid w:val="00331775"/>
    <w:rsid w:val="003352D5"/>
    <w:rsid w:val="00335721"/>
    <w:rsid w:val="003376C7"/>
    <w:rsid w:val="00361F91"/>
    <w:rsid w:val="00362F48"/>
    <w:rsid w:val="00373658"/>
    <w:rsid w:val="003923D6"/>
    <w:rsid w:val="003933D9"/>
    <w:rsid w:val="0039551E"/>
    <w:rsid w:val="003A5C0E"/>
    <w:rsid w:val="003C55AB"/>
    <w:rsid w:val="003D2F06"/>
    <w:rsid w:val="003E4D5F"/>
    <w:rsid w:val="003E5800"/>
    <w:rsid w:val="003F6542"/>
    <w:rsid w:val="00407D51"/>
    <w:rsid w:val="00423073"/>
    <w:rsid w:val="0042750B"/>
    <w:rsid w:val="00432D00"/>
    <w:rsid w:val="00436705"/>
    <w:rsid w:val="00440B85"/>
    <w:rsid w:val="00441363"/>
    <w:rsid w:val="00442045"/>
    <w:rsid w:val="00442F7D"/>
    <w:rsid w:val="0045518F"/>
    <w:rsid w:val="004765E2"/>
    <w:rsid w:val="004829A9"/>
    <w:rsid w:val="00484643"/>
    <w:rsid w:val="004A171C"/>
    <w:rsid w:val="004C1F19"/>
    <w:rsid w:val="004C5D88"/>
    <w:rsid w:val="004D655E"/>
    <w:rsid w:val="004E0CA4"/>
    <w:rsid w:val="004F30C0"/>
    <w:rsid w:val="00506D0C"/>
    <w:rsid w:val="0051506A"/>
    <w:rsid w:val="005320B3"/>
    <w:rsid w:val="005338A7"/>
    <w:rsid w:val="005340AA"/>
    <w:rsid w:val="005507A2"/>
    <w:rsid w:val="005727B8"/>
    <w:rsid w:val="005745A6"/>
    <w:rsid w:val="005963FB"/>
    <w:rsid w:val="0059D256"/>
    <w:rsid w:val="005B4CA7"/>
    <w:rsid w:val="005C2AF4"/>
    <w:rsid w:val="005C377F"/>
    <w:rsid w:val="005D4724"/>
    <w:rsid w:val="005E0AB3"/>
    <w:rsid w:val="005E11B2"/>
    <w:rsid w:val="005F0160"/>
    <w:rsid w:val="005F76E3"/>
    <w:rsid w:val="006049AE"/>
    <w:rsid w:val="00605254"/>
    <w:rsid w:val="00612F98"/>
    <w:rsid w:val="006207CF"/>
    <w:rsid w:val="00621163"/>
    <w:rsid w:val="00631134"/>
    <w:rsid w:val="00632C8B"/>
    <w:rsid w:val="00635A45"/>
    <w:rsid w:val="00697E00"/>
    <w:rsid w:val="006A2CFF"/>
    <w:rsid w:val="006E150A"/>
    <w:rsid w:val="006E6224"/>
    <w:rsid w:val="006E784E"/>
    <w:rsid w:val="00705FD3"/>
    <w:rsid w:val="00714ED3"/>
    <w:rsid w:val="00744C53"/>
    <w:rsid w:val="00761DA7"/>
    <w:rsid w:val="0076261C"/>
    <w:rsid w:val="00763602"/>
    <w:rsid w:val="00798678"/>
    <w:rsid w:val="007B0430"/>
    <w:rsid w:val="007F5108"/>
    <w:rsid w:val="007F7B92"/>
    <w:rsid w:val="00803857"/>
    <w:rsid w:val="008065C9"/>
    <w:rsid w:val="0080668D"/>
    <w:rsid w:val="00831084"/>
    <w:rsid w:val="008464DF"/>
    <w:rsid w:val="0084797C"/>
    <w:rsid w:val="008559A7"/>
    <w:rsid w:val="0086509D"/>
    <w:rsid w:val="00866D65"/>
    <w:rsid w:val="0088411B"/>
    <w:rsid w:val="008867EB"/>
    <w:rsid w:val="008879A2"/>
    <w:rsid w:val="008B0BD1"/>
    <w:rsid w:val="008B7F68"/>
    <w:rsid w:val="008E5048"/>
    <w:rsid w:val="009158EA"/>
    <w:rsid w:val="009348EB"/>
    <w:rsid w:val="0095044B"/>
    <w:rsid w:val="0095165F"/>
    <w:rsid w:val="00957AE3"/>
    <w:rsid w:val="00960D4C"/>
    <w:rsid w:val="00964845"/>
    <w:rsid w:val="009648A1"/>
    <w:rsid w:val="00967E4F"/>
    <w:rsid w:val="00971BB1"/>
    <w:rsid w:val="00976927"/>
    <w:rsid w:val="00993E13"/>
    <w:rsid w:val="009A18AA"/>
    <w:rsid w:val="009B0F8A"/>
    <w:rsid w:val="009C76E9"/>
    <w:rsid w:val="009D00E0"/>
    <w:rsid w:val="009D4E40"/>
    <w:rsid w:val="009E2E5F"/>
    <w:rsid w:val="009E494F"/>
    <w:rsid w:val="009E7BF1"/>
    <w:rsid w:val="009F0C31"/>
    <w:rsid w:val="009F2D7A"/>
    <w:rsid w:val="00A05E4E"/>
    <w:rsid w:val="00A215B1"/>
    <w:rsid w:val="00A22EBB"/>
    <w:rsid w:val="00A263A5"/>
    <w:rsid w:val="00A35D07"/>
    <w:rsid w:val="00A41D2C"/>
    <w:rsid w:val="00A41D2D"/>
    <w:rsid w:val="00A50E9C"/>
    <w:rsid w:val="00A548E6"/>
    <w:rsid w:val="00A54EE4"/>
    <w:rsid w:val="00A63438"/>
    <w:rsid w:val="00A80610"/>
    <w:rsid w:val="00A81025"/>
    <w:rsid w:val="00A83B2C"/>
    <w:rsid w:val="00AB0DA2"/>
    <w:rsid w:val="00AC5956"/>
    <w:rsid w:val="00AF0269"/>
    <w:rsid w:val="00AF39AD"/>
    <w:rsid w:val="00B11134"/>
    <w:rsid w:val="00B25512"/>
    <w:rsid w:val="00B40ED6"/>
    <w:rsid w:val="00B43D81"/>
    <w:rsid w:val="00B45A81"/>
    <w:rsid w:val="00B46B0D"/>
    <w:rsid w:val="00B54A78"/>
    <w:rsid w:val="00B77FFB"/>
    <w:rsid w:val="00BA370B"/>
    <w:rsid w:val="00BB1641"/>
    <w:rsid w:val="00BD0255"/>
    <w:rsid w:val="00BD0F7E"/>
    <w:rsid w:val="00BD3F9D"/>
    <w:rsid w:val="00BE631F"/>
    <w:rsid w:val="00BE7F1A"/>
    <w:rsid w:val="00C02F40"/>
    <w:rsid w:val="00C05B26"/>
    <w:rsid w:val="00C32CD5"/>
    <w:rsid w:val="00C41436"/>
    <w:rsid w:val="00C5033B"/>
    <w:rsid w:val="00C636A6"/>
    <w:rsid w:val="00C72493"/>
    <w:rsid w:val="00C92E2E"/>
    <w:rsid w:val="00CB37B4"/>
    <w:rsid w:val="00CE2182"/>
    <w:rsid w:val="00CF46FA"/>
    <w:rsid w:val="00CF48DF"/>
    <w:rsid w:val="00CF7CFA"/>
    <w:rsid w:val="00D04C75"/>
    <w:rsid w:val="00D12E1D"/>
    <w:rsid w:val="00D26EBE"/>
    <w:rsid w:val="00D35B06"/>
    <w:rsid w:val="00D375A6"/>
    <w:rsid w:val="00D716CC"/>
    <w:rsid w:val="00D739DC"/>
    <w:rsid w:val="00D90F6F"/>
    <w:rsid w:val="00D93779"/>
    <w:rsid w:val="00DA18B7"/>
    <w:rsid w:val="00DD5BCE"/>
    <w:rsid w:val="00DE2D29"/>
    <w:rsid w:val="00DE41C3"/>
    <w:rsid w:val="00DF710C"/>
    <w:rsid w:val="00E00B14"/>
    <w:rsid w:val="00E04745"/>
    <w:rsid w:val="00E06498"/>
    <w:rsid w:val="00E06F84"/>
    <w:rsid w:val="00E30B1D"/>
    <w:rsid w:val="00E44F5C"/>
    <w:rsid w:val="00E64466"/>
    <w:rsid w:val="00E711B6"/>
    <w:rsid w:val="00E7420F"/>
    <w:rsid w:val="00E819DB"/>
    <w:rsid w:val="00E832C4"/>
    <w:rsid w:val="00E8540E"/>
    <w:rsid w:val="00E917E8"/>
    <w:rsid w:val="00E9758B"/>
    <w:rsid w:val="00EA025C"/>
    <w:rsid w:val="00EA5202"/>
    <w:rsid w:val="00EF0400"/>
    <w:rsid w:val="00F10499"/>
    <w:rsid w:val="00F140F6"/>
    <w:rsid w:val="00F319DC"/>
    <w:rsid w:val="00F3686E"/>
    <w:rsid w:val="00F67AED"/>
    <w:rsid w:val="00F70E10"/>
    <w:rsid w:val="00F72649"/>
    <w:rsid w:val="00F7288B"/>
    <w:rsid w:val="00F842F7"/>
    <w:rsid w:val="00F90A26"/>
    <w:rsid w:val="00F91342"/>
    <w:rsid w:val="00FB1899"/>
    <w:rsid w:val="00FB3180"/>
    <w:rsid w:val="00FC181E"/>
    <w:rsid w:val="00FC47EA"/>
    <w:rsid w:val="00FC4D70"/>
    <w:rsid w:val="00FC645A"/>
    <w:rsid w:val="00FF1C74"/>
    <w:rsid w:val="02F21C7E"/>
    <w:rsid w:val="035B5A1B"/>
    <w:rsid w:val="0388579D"/>
    <w:rsid w:val="03C23451"/>
    <w:rsid w:val="042A0C17"/>
    <w:rsid w:val="0621A07C"/>
    <w:rsid w:val="06402DAE"/>
    <w:rsid w:val="071C1E72"/>
    <w:rsid w:val="0738DD3C"/>
    <w:rsid w:val="081A0492"/>
    <w:rsid w:val="08D64134"/>
    <w:rsid w:val="08F5F556"/>
    <w:rsid w:val="0B3181F3"/>
    <w:rsid w:val="0C63BAA8"/>
    <w:rsid w:val="0E9F90EA"/>
    <w:rsid w:val="0EA85C14"/>
    <w:rsid w:val="0FFA4309"/>
    <w:rsid w:val="123ABD81"/>
    <w:rsid w:val="13A07F38"/>
    <w:rsid w:val="13ADBE00"/>
    <w:rsid w:val="1464768F"/>
    <w:rsid w:val="14B15B04"/>
    <w:rsid w:val="16A0032C"/>
    <w:rsid w:val="17047B6C"/>
    <w:rsid w:val="187302EC"/>
    <w:rsid w:val="1A90BA5D"/>
    <w:rsid w:val="1B4F2DA1"/>
    <w:rsid w:val="1D429B26"/>
    <w:rsid w:val="1EE0AB09"/>
    <w:rsid w:val="1FDDE53E"/>
    <w:rsid w:val="2046F00A"/>
    <w:rsid w:val="20F6ECA9"/>
    <w:rsid w:val="220E8465"/>
    <w:rsid w:val="2311EE98"/>
    <w:rsid w:val="23ABE85D"/>
    <w:rsid w:val="23CB9C7F"/>
    <w:rsid w:val="23DAE9B0"/>
    <w:rsid w:val="259857D7"/>
    <w:rsid w:val="260400F3"/>
    <w:rsid w:val="26443285"/>
    <w:rsid w:val="26AD7022"/>
    <w:rsid w:val="26BDAEDA"/>
    <w:rsid w:val="28DC7CAD"/>
    <w:rsid w:val="29CC7FFF"/>
    <w:rsid w:val="2BCE8F08"/>
    <w:rsid w:val="2C12EBDA"/>
    <w:rsid w:val="2C28573B"/>
    <w:rsid w:val="2C603721"/>
    <w:rsid w:val="2DCBD52E"/>
    <w:rsid w:val="2E5E2CF4"/>
    <w:rsid w:val="2F3A1DB8"/>
    <w:rsid w:val="322C3013"/>
    <w:rsid w:val="3506ADAE"/>
    <w:rsid w:val="36AD9E50"/>
    <w:rsid w:val="373D1041"/>
    <w:rsid w:val="38323F8D"/>
    <w:rsid w:val="38F969A5"/>
    <w:rsid w:val="39A2A39B"/>
    <w:rsid w:val="39CCAE2D"/>
    <w:rsid w:val="3AB059A6"/>
    <w:rsid w:val="3AC885E4"/>
    <w:rsid w:val="3B8F7D2B"/>
    <w:rsid w:val="3BF303E4"/>
    <w:rsid w:val="3CB72E0C"/>
    <w:rsid w:val="3E166443"/>
    <w:rsid w:val="3E33F272"/>
    <w:rsid w:val="3F644978"/>
    <w:rsid w:val="4094B12D"/>
    <w:rsid w:val="4175D883"/>
    <w:rsid w:val="437888A1"/>
    <w:rsid w:val="44A20F4B"/>
    <w:rsid w:val="455328D3"/>
    <w:rsid w:val="45609A6C"/>
    <w:rsid w:val="45D232B2"/>
    <w:rsid w:val="4641C1C2"/>
    <w:rsid w:val="46F77E32"/>
    <w:rsid w:val="4771F6A6"/>
    <w:rsid w:val="48374293"/>
    <w:rsid w:val="49291978"/>
    <w:rsid w:val="495616FA"/>
    <w:rsid w:val="49FF8629"/>
    <w:rsid w:val="4A177F96"/>
    <w:rsid w:val="4ACE3825"/>
    <w:rsid w:val="4C065A8F"/>
    <w:rsid w:val="4CE459BC"/>
    <w:rsid w:val="4CF19884"/>
    <w:rsid w:val="4D09C4C2"/>
    <w:rsid w:val="4D1E9606"/>
    <w:rsid w:val="4DDD094A"/>
    <w:rsid w:val="4DE05EB3"/>
    <w:rsid w:val="4E0D2EF5"/>
    <w:rsid w:val="51AB5541"/>
    <w:rsid w:val="52E077DF"/>
    <w:rsid w:val="54C3E331"/>
    <w:rsid w:val="54C7C05C"/>
    <w:rsid w:val="569E6F17"/>
    <w:rsid w:val="56E35564"/>
    <w:rsid w:val="57239798"/>
    <w:rsid w:val="579D13ED"/>
    <w:rsid w:val="5A355E15"/>
    <w:rsid w:val="5A8F2648"/>
    <w:rsid w:val="5BE3D4AB"/>
    <w:rsid w:val="5C17FF9E"/>
    <w:rsid w:val="5D6B059E"/>
    <w:rsid w:val="5DB7A505"/>
    <w:rsid w:val="5F978273"/>
    <w:rsid w:val="60364195"/>
    <w:rsid w:val="60D7F60F"/>
    <w:rsid w:val="62EE17A6"/>
    <w:rsid w:val="62EF211A"/>
    <w:rsid w:val="632853F0"/>
    <w:rsid w:val="638FFEF1"/>
    <w:rsid w:val="64C7EE8A"/>
    <w:rsid w:val="6659A656"/>
    <w:rsid w:val="66AB66D9"/>
    <w:rsid w:val="67DF6BEB"/>
    <w:rsid w:val="6933B60D"/>
    <w:rsid w:val="6A50146B"/>
    <w:rsid w:val="6CA82D01"/>
    <w:rsid w:val="6DEE4F15"/>
    <w:rsid w:val="6F2F5096"/>
    <w:rsid w:val="70366FC3"/>
    <w:rsid w:val="704E6930"/>
    <w:rsid w:val="71F93EC1"/>
    <w:rsid w:val="73548381"/>
    <w:rsid w:val="737E5153"/>
    <w:rsid w:val="73871C7D"/>
    <w:rsid w:val="74515757"/>
    <w:rsid w:val="76863EDE"/>
    <w:rsid w:val="77839B44"/>
    <w:rsid w:val="77DD6377"/>
    <w:rsid w:val="77FD1799"/>
    <w:rsid w:val="79F0851E"/>
    <w:rsid w:val="7AC6F1CF"/>
    <w:rsid w:val="7CB46141"/>
    <w:rsid w:val="7D67BFFA"/>
    <w:rsid w:val="7D87741C"/>
    <w:rsid w:val="7DDBB83C"/>
    <w:rsid w:val="7E627359"/>
    <w:rsid w:val="7EBC6E5D"/>
    <w:rsid w:val="7F9D95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4B0E"/>
  <w15:chartTrackingRefBased/>
  <w15:docId w15:val="{1654F721-4538-47BF-8937-86B058B9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40E"/>
    <w:rPr>
      <w:color w:val="0563C1"/>
      <w:u w:val="single"/>
    </w:rPr>
  </w:style>
  <w:style w:type="character" w:styleId="Strong">
    <w:name w:val="Strong"/>
    <w:basedOn w:val="DefaultParagraphFont"/>
    <w:uiPriority w:val="22"/>
    <w:qFormat/>
    <w:rsid w:val="00E8540E"/>
    <w:rPr>
      <w:b/>
      <w:bCs/>
    </w:rPr>
  </w:style>
  <w:style w:type="paragraph" w:styleId="NormalWeb">
    <w:name w:val="Normal (Web)"/>
    <w:basedOn w:val="Normal"/>
    <w:uiPriority w:val="99"/>
    <w:semiHidden/>
    <w:unhideWhenUsed/>
    <w:rsid w:val="00D26E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4643"/>
    <w:pPr>
      <w:ind w:left="720"/>
      <w:contextualSpacing/>
    </w:pPr>
    <w:rPr>
      <w:lang w:val="en-GB"/>
    </w:rPr>
  </w:style>
  <w:style w:type="table" w:styleId="TableGrid">
    <w:name w:val="Table Grid"/>
    <w:basedOn w:val="TableNormal"/>
    <w:uiPriority w:val="39"/>
    <w:rsid w:val="0048464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370B"/>
    <w:rPr>
      <w:sz w:val="16"/>
      <w:szCs w:val="16"/>
    </w:rPr>
  </w:style>
  <w:style w:type="paragraph" w:styleId="CommentText">
    <w:name w:val="annotation text"/>
    <w:basedOn w:val="Normal"/>
    <w:link w:val="CommentTextChar"/>
    <w:uiPriority w:val="99"/>
    <w:unhideWhenUsed/>
    <w:rsid w:val="0010320E"/>
    <w:pPr>
      <w:spacing w:line="240" w:lineRule="auto"/>
    </w:pPr>
    <w:rPr>
      <w:sz w:val="20"/>
      <w:szCs w:val="20"/>
    </w:rPr>
  </w:style>
  <w:style w:type="character" w:customStyle="1" w:styleId="CommentTextChar">
    <w:name w:val="Comment Text Char"/>
    <w:basedOn w:val="DefaultParagraphFont"/>
    <w:link w:val="CommentText"/>
    <w:uiPriority w:val="99"/>
    <w:rsid w:val="00BA370B"/>
    <w:rPr>
      <w:sz w:val="20"/>
      <w:szCs w:val="20"/>
    </w:rPr>
  </w:style>
  <w:style w:type="paragraph" w:styleId="CommentSubject">
    <w:name w:val="annotation subject"/>
    <w:basedOn w:val="CommentText"/>
    <w:next w:val="CommentText"/>
    <w:link w:val="CommentSubjectChar"/>
    <w:uiPriority w:val="99"/>
    <w:semiHidden/>
    <w:unhideWhenUsed/>
    <w:rsid w:val="00BA370B"/>
    <w:rPr>
      <w:b/>
      <w:bCs/>
    </w:rPr>
  </w:style>
  <w:style w:type="character" w:customStyle="1" w:styleId="CommentSubjectChar">
    <w:name w:val="Comment Subject Char"/>
    <w:basedOn w:val="CommentTextChar"/>
    <w:link w:val="CommentSubject"/>
    <w:uiPriority w:val="99"/>
    <w:semiHidden/>
    <w:rsid w:val="00BA370B"/>
    <w:rPr>
      <w:b/>
      <w:bCs/>
      <w:sz w:val="20"/>
      <w:szCs w:val="20"/>
    </w:rPr>
  </w:style>
  <w:style w:type="paragraph" w:styleId="Revision">
    <w:name w:val="Revision"/>
    <w:hidden/>
    <w:uiPriority w:val="99"/>
    <w:semiHidden/>
    <w:rsid w:val="0010320E"/>
    <w:pPr>
      <w:spacing w:after="0" w:line="240" w:lineRule="auto"/>
    </w:pPr>
  </w:style>
  <w:style w:type="character" w:styleId="UnresolvedMention">
    <w:name w:val="Unresolved Mention"/>
    <w:basedOn w:val="DefaultParagraphFont"/>
    <w:uiPriority w:val="99"/>
    <w:semiHidden/>
    <w:unhideWhenUsed/>
    <w:rsid w:val="00103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88547">
      <w:bodyDiv w:val="1"/>
      <w:marLeft w:val="0"/>
      <w:marRight w:val="0"/>
      <w:marTop w:val="0"/>
      <w:marBottom w:val="0"/>
      <w:divBdr>
        <w:top w:val="none" w:sz="0" w:space="0" w:color="auto"/>
        <w:left w:val="none" w:sz="0" w:space="0" w:color="auto"/>
        <w:bottom w:val="none" w:sz="0" w:space="0" w:color="auto"/>
        <w:right w:val="none" w:sz="0" w:space="0" w:color="auto"/>
      </w:divBdr>
    </w:div>
    <w:div w:id="623930285">
      <w:bodyDiv w:val="1"/>
      <w:marLeft w:val="0"/>
      <w:marRight w:val="0"/>
      <w:marTop w:val="0"/>
      <w:marBottom w:val="0"/>
      <w:divBdr>
        <w:top w:val="none" w:sz="0" w:space="0" w:color="auto"/>
        <w:left w:val="none" w:sz="0" w:space="0" w:color="auto"/>
        <w:bottom w:val="none" w:sz="0" w:space="0" w:color="auto"/>
        <w:right w:val="none" w:sz="0" w:space="0" w:color="auto"/>
      </w:divBdr>
    </w:div>
    <w:div w:id="927690549">
      <w:bodyDiv w:val="1"/>
      <w:marLeft w:val="0"/>
      <w:marRight w:val="0"/>
      <w:marTop w:val="0"/>
      <w:marBottom w:val="0"/>
      <w:divBdr>
        <w:top w:val="none" w:sz="0" w:space="0" w:color="auto"/>
        <w:left w:val="none" w:sz="0" w:space="0" w:color="auto"/>
        <w:bottom w:val="none" w:sz="0" w:space="0" w:color="auto"/>
        <w:right w:val="none" w:sz="0" w:space="0" w:color="auto"/>
      </w:divBdr>
    </w:div>
    <w:div w:id="1187255261">
      <w:bodyDiv w:val="1"/>
      <w:marLeft w:val="0"/>
      <w:marRight w:val="0"/>
      <w:marTop w:val="0"/>
      <w:marBottom w:val="0"/>
      <w:divBdr>
        <w:top w:val="none" w:sz="0" w:space="0" w:color="auto"/>
        <w:left w:val="none" w:sz="0" w:space="0" w:color="auto"/>
        <w:bottom w:val="none" w:sz="0" w:space="0" w:color="auto"/>
        <w:right w:val="none" w:sz="0" w:space="0" w:color="auto"/>
      </w:divBdr>
    </w:div>
    <w:div w:id="1642615178">
      <w:bodyDiv w:val="1"/>
      <w:marLeft w:val="0"/>
      <w:marRight w:val="0"/>
      <w:marTop w:val="0"/>
      <w:marBottom w:val="0"/>
      <w:divBdr>
        <w:top w:val="none" w:sz="0" w:space="0" w:color="auto"/>
        <w:left w:val="none" w:sz="0" w:space="0" w:color="auto"/>
        <w:bottom w:val="none" w:sz="0" w:space="0" w:color="auto"/>
        <w:right w:val="none" w:sz="0" w:space="0" w:color="auto"/>
      </w:divBdr>
    </w:div>
    <w:div w:id="177563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96F58CA695BA4882A6DD73F7F8CF98" ma:contentTypeVersion="14" ma:contentTypeDescription="Create a new document." ma:contentTypeScope="" ma:versionID="5e35054a5c2dd11d64beedcdfca4861a">
  <xsd:schema xmlns:xsd="http://www.w3.org/2001/XMLSchema" xmlns:xs="http://www.w3.org/2001/XMLSchema" xmlns:p="http://schemas.microsoft.com/office/2006/metadata/properties" xmlns:ns3="5b8ccb2d-519c-405e-80de-572b5a217919" xmlns:ns4="af115b7a-e3b7-46b7-8814-2f9b1b989300" targetNamespace="http://schemas.microsoft.com/office/2006/metadata/properties" ma:root="true" ma:fieldsID="72473e956c7d8387d8a8dfac6e475827" ns3:_="" ns4:_="">
    <xsd:import namespace="5b8ccb2d-519c-405e-80de-572b5a217919"/>
    <xsd:import namespace="af115b7a-e3b7-46b7-8814-2f9b1b9893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ccb2d-519c-405e-80de-572b5a217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115b7a-e3b7-46b7-8814-2f9b1b9893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CE054F-53B5-4277-AAF8-5941B34D38A3}">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 ds:uri="af115b7a-e3b7-46b7-8814-2f9b1b989300"/>
    <ds:schemaRef ds:uri="5b8ccb2d-519c-405e-80de-572b5a217919"/>
    <ds:schemaRef ds:uri="http://purl.org/dc/dcmitype/"/>
  </ds:schemaRefs>
</ds:datastoreItem>
</file>

<file path=customXml/itemProps2.xml><?xml version="1.0" encoding="utf-8"?>
<ds:datastoreItem xmlns:ds="http://schemas.openxmlformats.org/officeDocument/2006/customXml" ds:itemID="{9E93C464-351F-4184-8E7E-E9C46B9E159C}">
  <ds:schemaRefs>
    <ds:schemaRef ds:uri="http://schemas.microsoft.com/sharepoint/v3/contenttype/forms"/>
  </ds:schemaRefs>
</ds:datastoreItem>
</file>

<file path=customXml/itemProps3.xml><?xml version="1.0" encoding="utf-8"?>
<ds:datastoreItem xmlns:ds="http://schemas.openxmlformats.org/officeDocument/2006/customXml" ds:itemID="{3B5DA927-FF49-422C-B18C-F65FB3AFF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ccb2d-519c-405e-80de-572b5a217919"/>
    <ds:schemaRef ds:uri="af115b7a-e3b7-46b7-8814-2f9b1b98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1807</Words>
  <Characters>10302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Barling</dc:creator>
  <cp:keywords/>
  <dc:description/>
  <cp:lastModifiedBy>Rayana Rassool</cp:lastModifiedBy>
  <cp:revision>2</cp:revision>
  <dcterms:created xsi:type="dcterms:W3CDTF">2022-07-14T08:01:00Z</dcterms:created>
  <dcterms:modified xsi:type="dcterms:W3CDTF">2022-07-14T08:01:00Z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0x010100B396F58CA695BA4882A6DD73F7F8CF98</vt:lpwstr>
  </property>
  <property fmtid="{D5CDD505-2E9C-101B-9397-08002B2CF9AE}" pid="3" name="_dlc_DocIdItemGuid">
    <vt:lpwstr>28306528-8566-4802-a3be-1481e45fefe4</vt:lpwstr>
  </property>
</Properties>
</file>